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678B4E" w14:textId="3CDF6000" w:rsidR="00622D23" w:rsidRDefault="009E5172" w:rsidP="00421CA5">
      <w:pPr>
        <w:widowControl w:val="0"/>
        <w:spacing w:before="3" w:after="0" w:line="275" w:lineRule="auto"/>
        <w:ind w:left="103" w:right="5612"/>
        <w:rPr>
          <w:rFonts w:ascii="Arial" w:eastAsia="Arial" w:hAnsi="Arial" w:cs="Times New Roman"/>
          <w:szCs w:val="20"/>
          <w:lang w:val="en-US"/>
        </w:rPr>
      </w:pPr>
      <w:r>
        <w:rPr>
          <w:rFonts w:ascii="Arial" w:eastAsia="Arial" w:hAnsi="Arial" w:cs="Times New Roman"/>
          <w:szCs w:val="20"/>
          <w:lang w:val="en-US"/>
        </w:rPr>
        <w:t>Local Plan 2040 Consultation</w:t>
      </w:r>
    </w:p>
    <w:p w14:paraId="2C0E21C1" w14:textId="228B6360" w:rsidR="009E5172" w:rsidRDefault="009E5172" w:rsidP="00421CA5">
      <w:pPr>
        <w:widowControl w:val="0"/>
        <w:spacing w:before="3" w:after="0" w:line="275" w:lineRule="auto"/>
        <w:ind w:left="103" w:right="5612"/>
        <w:rPr>
          <w:rFonts w:ascii="Arial" w:eastAsia="Arial" w:hAnsi="Arial" w:cs="Times New Roman"/>
          <w:szCs w:val="20"/>
          <w:lang w:val="en-US"/>
        </w:rPr>
      </w:pPr>
      <w:r>
        <w:rPr>
          <w:rFonts w:ascii="Arial" w:eastAsia="Arial" w:hAnsi="Arial" w:cs="Times New Roman"/>
          <w:szCs w:val="20"/>
          <w:lang w:val="en-US"/>
        </w:rPr>
        <w:t>Planning Policy Team</w:t>
      </w:r>
    </w:p>
    <w:p w14:paraId="613DDF04" w14:textId="557BEA65" w:rsidR="009E5172" w:rsidRDefault="009E5172" w:rsidP="00421CA5">
      <w:pPr>
        <w:widowControl w:val="0"/>
        <w:spacing w:before="3" w:after="0" w:line="275" w:lineRule="auto"/>
        <w:ind w:left="103" w:right="5612"/>
        <w:rPr>
          <w:rFonts w:ascii="Arial" w:eastAsia="Arial" w:hAnsi="Arial" w:cs="Times New Roman"/>
          <w:szCs w:val="20"/>
          <w:lang w:val="en-US"/>
        </w:rPr>
      </w:pPr>
      <w:r>
        <w:rPr>
          <w:rFonts w:ascii="Arial" w:eastAsia="Arial" w:hAnsi="Arial" w:cs="Times New Roman"/>
          <w:szCs w:val="20"/>
          <w:lang w:val="en-US"/>
        </w:rPr>
        <w:t>Bedford Borough Council</w:t>
      </w:r>
    </w:p>
    <w:p w14:paraId="4E023F15" w14:textId="5586A8BF" w:rsidR="009E5172" w:rsidRDefault="009E5172" w:rsidP="00421CA5">
      <w:pPr>
        <w:widowControl w:val="0"/>
        <w:spacing w:before="3" w:after="0" w:line="275" w:lineRule="auto"/>
        <w:ind w:left="103" w:right="5612"/>
        <w:rPr>
          <w:rFonts w:ascii="Arial" w:eastAsia="Arial" w:hAnsi="Arial" w:cs="Times New Roman"/>
          <w:szCs w:val="20"/>
          <w:lang w:val="en-US"/>
        </w:rPr>
      </w:pPr>
      <w:r>
        <w:rPr>
          <w:rFonts w:ascii="Arial" w:eastAsia="Arial" w:hAnsi="Arial" w:cs="Times New Roman"/>
          <w:szCs w:val="20"/>
          <w:lang w:val="en-US"/>
        </w:rPr>
        <w:t>Borough</w:t>
      </w:r>
      <w:r w:rsidR="001E4000">
        <w:rPr>
          <w:rFonts w:ascii="Arial" w:eastAsia="Arial" w:hAnsi="Arial" w:cs="Times New Roman"/>
          <w:szCs w:val="20"/>
          <w:lang w:val="en-US"/>
        </w:rPr>
        <w:t xml:space="preserve"> Hall</w:t>
      </w:r>
    </w:p>
    <w:p w14:paraId="0ACFD4E2" w14:textId="34D5D10D" w:rsidR="001E4000" w:rsidRDefault="001E4000" w:rsidP="00421CA5">
      <w:pPr>
        <w:widowControl w:val="0"/>
        <w:spacing w:before="3" w:after="0" w:line="275" w:lineRule="auto"/>
        <w:ind w:left="103" w:right="5612"/>
        <w:rPr>
          <w:rFonts w:ascii="Arial" w:eastAsia="Arial" w:hAnsi="Arial" w:cs="Times New Roman"/>
          <w:szCs w:val="20"/>
          <w:lang w:val="en-US"/>
        </w:rPr>
      </w:pPr>
      <w:r>
        <w:rPr>
          <w:rFonts w:ascii="Arial" w:eastAsia="Arial" w:hAnsi="Arial" w:cs="Times New Roman"/>
          <w:szCs w:val="20"/>
          <w:lang w:val="en-US"/>
        </w:rPr>
        <w:t>Bedford</w:t>
      </w:r>
    </w:p>
    <w:p w14:paraId="63C58B5A" w14:textId="49F6B62F" w:rsidR="001E4000" w:rsidRPr="007C20AC" w:rsidRDefault="001E4000" w:rsidP="00421CA5">
      <w:pPr>
        <w:widowControl w:val="0"/>
        <w:spacing w:before="3" w:after="0" w:line="275" w:lineRule="auto"/>
        <w:ind w:left="103" w:right="5612"/>
        <w:rPr>
          <w:rFonts w:ascii="Arial" w:eastAsia="Arial" w:hAnsi="Arial" w:cs="Times New Roman"/>
          <w:szCs w:val="20"/>
          <w:lang w:val="en-US"/>
        </w:rPr>
      </w:pPr>
      <w:r>
        <w:rPr>
          <w:rFonts w:ascii="Arial" w:eastAsia="Arial" w:hAnsi="Arial" w:cs="Times New Roman"/>
          <w:szCs w:val="20"/>
          <w:lang w:val="en-US"/>
        </w:rPr>
        <w:t>MK42 9AP</w:t>
      </w:r>
    </w:p>
    <w:p w14:paraId="3CC00B5E" w14:textId="77777777" w:rsidR="002F41EF" w:rsidRDefault="002F41EF" w:rsidP="00C8236C">
      <w:pPr>
        <w:ind w:left="2880"/>
        <w:rPr>
          <w:b/>
          <w:bCs/>
        </w:rPr>
      </w:pPr>
    </w:p>
    <w:p w14:paraId="394F9C46" w14:textId="30C8717C" w:rsidR="00E969B0" w:rsidRPr="00062B8C" w:rsidRDefault="00AC3365" w:rsidP="002F41EF">
      <w:pPr>
        <w:rPr>
          <w:b/>
          <w:bCs/>
        </w:rPr>
      </w:pPr>
      <w:r w:rsidRPr="00062B8C">
        <w:rPr>
          <w:b/>
          <w:bCs/>
        </w:rPr>
        <w:t xml:space="preserve">Submitted Via </w:t>
      </w:r>
      <w:r w:rsidR="001E4000">
        <w:rPr>
          <w:b/>
          <w:bCs/>
        </w:rPr>
        <w:t xml:space="preserve">Email: </w:t>
      </w:r>
      <w:r w:rsidR="007D6697">
        <w:rPr>
          <w:b/>
          <w:bCs/>
        </w:rPr>
        <w:t xml:space="preserve"> </w:t>
      </w:r>
      <w:r w:rsidR="007D6697">
        <w:rPr>
          <w:b/>
          <w:bCs/>
        </w:rPr>
        <w:tab/>
      </w:r>
      <w:hyperlink r:id="rId10" w:history="1">
        <w:r w:rsidR="007D6697" w:rsidRPr="00D21A02">
          <w:rPr>
            <w:rStyle w:val="Hyperlink"/>
            <w:b/>
            <w:bCs/>
          </w:rPr>
          <w:t>planningforthefuture@bedford.gov.uk</w:t>
        </w:r>
      </w:hyperlink>
      <w:r w:rsidR="00392635">
        <w:rPr>
          <w:b/>
          <w:bCs/>
        </w:rPr>
        <w:t xml:space="preserve"> / </w:t>
      </w:r>
      <w:hyperlink r:id="rId11" w:history="1">
        <w:r w:rsidR="003C6EDC" w:rsidRPr="001C77D9">
          <w:rPr>
            <w:rStyle w:val="Hyperlink"/>
            <w:b/>
            <w:bCs/>
          </w:rPr>
          <w:t>planningpolicy@bedford.gov.uk</w:t>
        </w:r>
      </w:hyperlink>
      <w:r w:rsidR="00392635">
        <w:rPr>
          <w:b/>
          <w:bCs/>
        </w:rPr>
        <w:t xml:space="preserve"> </w:t>
      </w:r>
    </w:p>
    <w:p w14:paraId="53369F19" w14:textId="253001E1" w:rsidR="0011357B" w:rsidRPr="002F41EF" w:rsidRDefault="00D42971" w:rsidP="00656A7F">
      <w:pPr>
        <w:pStyle w:val="Subjectline"/>
        <w:rPr>
          <w:szCs w:val="20"/>
        </w:rPr>
      </w:pPr>
      <w:r w:rsidRPr="002F41EF">
        <w:rPr>
          <w:szCs w:val="20"/>
        </w:rPr>
        <w:t>representations to the bedford borough local plan 2040: Plan for submission (regulation 19 Publication Stage)</w:t>
      </w:r>
    </w:p>
    <w:p w14:paraId="2B2DAE91" w14:textId="43BEF8B7" w:rsidR="00A85B01" w:rsidRDefault="00E44349" w:rsidP="00656A7F">
      <w:pPr>
        <w:pStyle w:val="Subjectline"/>
      </w:pPr>
      <w:r>
        <w:t xml:space="preserve">Spatial Strategy and </w:t>
      </w:r>
      <w:r w:rsidR="0045303A">
        <w:t xml:space="preserve">Proposed Allocation </w:t>
      </w:r>
      <w:r>
        <w:t>HOU19 Ltttle Barford New Settlement</w:t>
      </w:r>
    </w:p>
    <w:p w14:paraId="7A3F014D" w14:textId="33AA1D4E" w:rsidR="00B40A67" w:rsidRDefault="00076310" w:rsidP="00971DF5">
      <w:pPr>
        <w:jc w:val="both"/>
      </w:pPr>
      <w:r w:rsidRPr="00076310">
        <w:t xml:space="preserve">On behalf of </w:t>
      </w:r>
      <w:r w:rsidR="009B6303">
        <w:t xml:space="preserve">our </w:t>
      </w:r>
      <w:r w:rsidR="00E44349">
        <w:t xml:space="preserve">landowning clients that have interests within </w:t>
      </w:r>
      <w:r w:rsidR="003C6EDC">
        <w:t xml:space="preserve">the neighbouring </w:t>
      </w:r>
      <w:r w:rsidR="00E44349">
        <w:t>Huntingdonshire District</w:t>
      </w:r>
      <w:r w:rsidR="009B6303">
        <w:t xml:space="preserve">, we </w:t>
      </w:r>
      <w:r w:rsidR="00B94A45">
        <w:t xml:space="preserve">take </w:t>
      </w:r>
      <w:r w:rsidR="009B6303">
        <w:t>this opportunity to comment on the Regulation 19 stage of the Bedford Borough Local Plan 2040</w:t>
      </w:r>
      <w:r w:rsidR="00133C8E">
        <w:t xml:space="preserve">. </w:t>
      </w:r>
    </w:p>
    <w:p w14:paraId="5A0A66F0" w14:textId="061697CC" w:rsidR="0007194A" w:rsidRDefault="0045303A" w:rsidP="00971DF5">
      <w:pPr>
        <w:jc w:val="both"/>
      </w:pPr>
      <w:r>
        <w:t>W</w:t>
      </w:r>
      <w:r w:rsidR="0007194A">
        <w:t>hil</w:t>
      </w:r>
      <w:r>
        <w:t>st</w:t>
      </w:r>
      <w:r w:rsidR="0007194A">
        <w:t xml:space="preserve"> </w:t>
      </w:r>
      <w:r w:rsidR="007D707A">
        <w:t xml:space="preserve">our clients land is </w:t>
      </w:r>
      <w:r w:rsidR="0007194A">
        <w:t xml:space="preserve">not within the Bedford Borough area, the </w:t>
      </w:r>
      <w:r w:rsidR="00217C23">
        <w:t xml:space="preserve">spatial strategy does </w:t>
      </w:r>
      <w:r w:rsidR="000E278A">
        <w:t xml:space="preserve">include significant growth close to </w:t>
      </w:r>
      <w:r w:rsidR="00AD5834">
        <w:t xml:space="preserve">their land interests and as such these comments specifically relate to the </w:t>
      </w:r>
      <w:r w:rsidR="009C3707">
        <w:t xml:space="preserve">spatial strategy and proposed policy HOU19 </w:t>
      </w:r>
      <w:r w:rsidR="00AD5834">
        <w:t xml:space="preserve">Little Barford </w:t>
      </w:r>
      <w:r w:rsidR="009C3707">
        <w:t>New Settlement</w:t>
      </w:r>
      <w:r w:rsidR="000313AD">
        <w:t xml:space="preserve"> as well as some hopefully useful comments on the wider strategy</w:t>
      </w:r>
      <w:r w:rsidR="002B215B">
        <w:t xml:space="preserve"> approach</w:t>
      </w:r>
      <w:r w:rsidR="000313AD">
        <w:t xml:space="preserve">. </w:t>
      </w:r>
    </w:p>
    <w:p w14:paraId="63C314AE" w14:textId="47B1C139" w:rsidR="002B723E" w:rsidRPr="003C6EDC" w:rsidRDefault="002B723E" w:rsidP="00971DF5">
      <w:pPr>
        <w:jc w:val="both"/>
        <w:rPr>
          <w:b/>
          <w:bCs/>
        </w:rPr>
      </w:pPr>
      <w:r w:rsidRPr="003C6EDC">
        <w:rPr>
          <w:b/>
          <w:bCs/>
        </w:rPr>
        <w:t>Local Plan Programme</w:t>
      </w:r>
    </w:p>
    <w:p w14:paraId="22233CAC" w14:textId="77F1109D" w:rsidR="002B723E" w:rsidRDefault="002B723E" w:rsidP="002B723E">
      <w:pPr>
        <w:jc w:val="both"/>
      </w:pPr>
      <w:r>
        <w:t xml:space="preserve">The particular reason given by BBC for progression to the proposed Submission Regulation 19 stage of </w:t>
      </w:r>
      <w:proofErr w:type="spellStart"/>
      <w:r>
        <w:t>planmaking</w:t>
      </w:r>
      <w:proofErr w:type="spellEnd"/>
      <w:r>
        <w:t xml:space="preserve"> at this time is Policy 1 in the adopted plan, which states that “</w:t>
      </w:r>
      <w:r w:rsidRPr="00342276">
        <w:rPr>
          <w:i/>
          <w:iCs/>
        </w:rPr>
        <w:t>an updated or replacement plan will be submitted for examination no later than three years</w:t>
      </w:r>
      <w:r w:rsidR="00924132" w:rsidRPr="00342276">
        <w:rPr>
          <w:i/>
          <w:iCs/>
        </w:rPr>
        <w:t xml:space="preserve"> </w:t>
      </w:r>
      <w:r w:rsidRPr="00342276">
        <w:rPr>
          <w:i/>
          <w:iCs/>
        </w:rPr>
        <w:t>after the date of adoption of the plan. In the event that this submission date is not</w:t>
      </w:r>
      <w:r w:rsidR="00924132" w:rsidRPr="00342276">
        <w:rPr>
          <w:i/>
          <w:iCs/>
        </w:rPr>
        <w:t xml:space="preserve"> </w:t>
      </w:r>
      <w:r w:rsidRPr="00342276">
        <w:rPr>
          <w:i/>
          <w:iCs/>
        </w:rPr>
        <w:t>adhered to, the policies in the Local Plan 2030 which are most important for</w:t>
      </w:r>
      <w:r w:rsidR="00924132" w:rsidRPr="00342276">
        <w:rPr>
          <w:i/>
          <w:iCs/>
        </w:rPr>
        <w:t xml:space="preserve"> </w:t>
      </w:r>
      <w:r w:rsidRPr="00342276">
        <w:rPr>
          <w:i/>
          <w:iCs/>
        </w:rPr>
        <w:t>determining planning applications for new dwellings will be deemed to be ‘out of</w:t>
      </w:r>
      <w:r w:rsidR="00924132" w:rsidRPr="00342276">
        <w:rPr>
          <w:i/>
          <w:iCs/>
        </w:rPr>
        <w:t xml:space="preserve"> </w:t>
      </w:r>
      <w:r w:rsidRPr="00342276">
        <w:rPr>
          <w:i/>
          <w:iCs/>
        </w:rPr>
        <w:t>date’ in accordance with paragraph 11 d) of the National Planning Policy</w:t>
      </w:r>
      <w:r w:rsidR="00924132" w:rsidRPr="00342276">
        <w:rPr>
          <w:i/>
          <w:iCs/>
        </w:rPr>
        <w:t xml:space="preserve"> </w:t>
      </w:r>
      <w:r w:rsidRPr="00342276">
        <w:rPr>
          <w:i/>
          <w:iCs/>
        </w:rPr>
        <w:t>Framework 2019</w:t>
      </w:r>
      <w:r>
        <w:t>"</w:t>
      </w:r>
    </w:p>
    <w:p w14:paraId="3AEEC318" w14:textId="0C331ED7" w:rsidR="00924132" w:rsidRDefault="00924132" w:rsidP="002B723E">
      <w:pPr>
        <w:jc w:val="both"/>
      </w:pPr>
      <w:r>
        <w:t xml:space="preserve">Whilst we acknowledge the importance of preparing replacement plans to </w:t>
      </w:r>
      <w:r w:rsidR="00342276">
        <w:t xml:space="preserve">maintain a plan-led system, this is not a reason to rush ahead with a plan that does not have sufficient evidence to support some of its key strategies and proposed land allocations.  The potential for a lengthy examination </w:t>
      </w:r>
      <w:r w:rsidR="00DC1CF2">
        <w:t>that may follow on fr</w:t>
      </w:r>
      <w:r w:rsidR="00E1287B">
        <w:t>o</w:t>
      </w:r>
      <w:r w:rsidR="00DC1CF2">
        <w:t>m a plan that has not been properly prepared</w:t>
      </w:r>
      <w:r w:rsidR="00E1287B">
        <w:t>, and one that runs the risk of being found unsound/withdrawn as a result is not an appropriate way to undertake plan-making</w:t>
      </w:r>
      <w:r w:rsidR="006C37DE">
        <w:t xml:space="preserve"> simply to ‘buy time’ to avoid unplanned development proposals.</w:t>
      </w:r>
      <w:r w:rsidR="00DC1CF2">
        <w:t xml:space="preserve">  </w:t>
      </w:r>
      <w:r w:rsidR="00342276">
        <w:t xml:space="preserve">  </w:t>
      </w:r>
    </w:p>
    <w:p w14:paraId="7597D237" w14:textId="77777777" w:rsidR="00F57E3A" w:rsidRDefault="00F57E3A" w:rsidP="002B723E">
      <w:pPr>
        <w:jc w:val="both"/>
      </w:pPr>
    </w:p>
    <w:p w14:paraId="3103C769" w14:textId="77777777" w:rsidR="00F57E3A" w:rsidRDefault="00F57E3A" w:rsidP="002B723E">
      <w:pPr>
        <w:jc w:val="both"/>
      </w:pPr>
    </w:p>
    <w:p w14:paraId="38E09A90" w14:textId="77777777" w:rsidR="00345A3F" w:rsidRPr="00345A3F" w:rsidRDefault="00345A3F" w:rsidP="00345A3F">
      <w:pPr>
        <w:jc w:val="both"/>
        <w:rPr>
          <w:b/>
          <w:bCs/>
        </w:rPr>
      </w:pPr>
      <w:r w:rsidRPr="00345A3F">
        <w:rPr>
          <w:b/>
          <w:bCs/>
        </w:rPr>
        <w:lastRenderedPageBreak/>
        <w:t>Question 5: Please give details of why you consider the Local Plan is not legally compliant or is unsound or fails to comply with the duty to co-operate. Please be as precise as possible.</w:t>
      </w:r>
    </w:p>
    <w:p w14:paraId="76297D42" w14:textId="77777777" w:rsidR="001A4B3F" w:rsidRDefault="001A4B3F" w:rsidP="00345A3F">
      <w:pPr>
        <w:jc w:val="both"/>
        <w:rPr>
          <w:b/>
          <w:bCs/>
        </w:rPr>
      </w:pPr>
    </w:p>
    <w:p w14:paraId="13081202" w14:textId="7ACF1A1B" w:rsidR="00552225" w:rsidRPr="00552225" w:rsidRDefault="00552225" w:rsidP="00345A3F">
      <w:pPr>
        <w:jc w:val="both"/>
        <w:rPr>
          <w:b/>
          <w:bCs/>
        </w:rPr>
      </w:pPr>
      <w:r w:rsidRPr="00552225">
        <w:rPr>
          <w:b/>
          <w:bCs/>
        </w:rPr>
        <w:t>Sustainability Appraisal</w:t>
      </w:r>
    </w:p>
    <w:p w14:paraId="71109F90" w14:textId="13C8D149" w:rsidR="00345A3F" w:rsidRPr="00345A3F" w:rsidRDefault="00345A3F" w:rsidP="00345A3F">
      <w:pPr>
        <w:jc w:val="both"/>
      </w:pPr>
      <w:r w:rsidRPr="00345A3F">
        <w:t>Fundamental to the success of the Proposed Submission Draft Local Plan is the delivery of some 3,800 homes of the proposed 4,000 homes at Little Barford New Settlement within the plan period. This equates to 1</w:t>
      </w:r>
      <w:r w:rsidR="00F86A67">
        <w:t>4</w:t>
      </w:r>
      <w:r w:rsidRPr="00345A3F">
        <w:t xml:space="preserve">% of the housing provision within the 20-year plan period.  The premise of this allocation is that it is sustainable due to the proximity of the new East West Rail (EWR) station.  </w:t>
      </w:r>
    </w:p>
    <w:p w14:paraId="25C658DE" w14:textId="77777777" w:rsidR="00345A3F" w:rsidRPr="00345A3F" w:rsidRDefault="00345A3F" w:rsidP="00345A3F">
      <w:pPr>
        <w:jc w:val="both"/>
      </w:pPr>
      <w:r w:rsidRPr="00345A3F">
        <w:t>Given the uncertainties of EWR and particularly the section between Bedford and Cambridge, we are not satisfied that the SA objectives, assessment methodology and framework generally accord with the requirements of the Planning and Compulsory Purchase Act 2004 and the Strategic Environmental Assessment Regulations.</w:t>
      </w:r>
    </w:p>
    <w:p w14:paraId="6537D43B" w14:textId="454BF25F" w:rsidR="00345A3F" w:rsidRPr="00345A3F" w:rsidRDefault="00345A3F" w:rsidP="00345A3F">
      <w:pPr>
        <w:jc w:val="both"/>
      </w:pPr>
      <w:r w:rsidRPr="00345A3F">
        <w:t>Particularly, there is no assessment of the transport and carbon impacts of development at Little Barford should East West Rail be delayed or not delivered, including potential traffic impacts on the A428 within Huntingdonshire and Greater Cambridge.</w:t>
      </w:r>
    </w:p>
    <w:p w14:paraId="2C7C69F8" w14:textId="77777777" w:rsidR="00552225" w:rsidRDefault="00552225" w:rsidP="00971DF5">
      <w:pPr>
        <w:jc w:val="both"/>
        <w:rPr>
          <w:b/>
          <w:bCs/>
        </w:rPr>
      </w:pPr>
    </w:p>
    <w:p w14:paraId="1C924E10" w14:textId="1D06E498" w:rsidR="002E3E3D" w:rsidRPr="00F57E3A" w:rsidRDefault="002E3E3D" w:rsidP="00971DF5">
      <w:pPr>
        <w:jc w:val="both"/>
        <w:rPr>
          <w:b/>
          <w:bCs/>
        </w:rPr>
      </w:pPr>
      <w:r w:rsidRPr="00F57E3A">
        <w:rPr>
          <w:b/>
          <w:bCs/>
        </w:rPr>
        <w:t>Spatial Strategy and evidence base</w:t>
      </w:r>
    </w:p>
    <w:p w14:paraId="11ED494F" w14:textId="363416C5" w:rsidR="006F5863" w:rsidRDefault="006C45F2" w:rsidP="00971DF5">
      <w:pPr>
        <w:jc w:val="both"/>
      </w:pPr>
      <w:r>
        <w:t xml:space="preserve">In its current form, the plan </w:t>
      </w:r>
      <w:r w:rsidR="00F57E3A">
        <w:t>cannot be considered</w:t>
      </w:r>
      <w:r>
        <w:t xml:space="preserve"> sound because </w:t>
      </w:r>
      <w:r w:rsidR="00B34DD8">
        <w:t>some of the fundamental principles that the plan relies upon to guide development are uncertain.  This specifically relates t</w:t>
      </w:r>
      <w:r w:rsidR="00EF7B9B">
        <w:t>o</w:t>
      </w:r>
      <w:r w:rsidR="00B34DD8">
        <w:t xml:space="preserve"> the </w:t>
      </w:r>
      <w:r w:rsidR="00475296">
        <w:t xml:space="preserve">over </w:t>
      </w:r>
      <w:r w:rsidR="008B77A4">
        <w:t>reliance</w:t>
      </w:r>
      <w:r w:rsidR="00475296">
        <w:t xml:space="preserve"> on the East West Rail </w:t>
      </w:r>
      <w:r w:rsidR="002879C9">
        <w:t xml:space="preserve">(EWR) scheme </w:t>
      </w:r>
      <w:r w:rsidR="00475296">
        <w:t>coming forward</w:t>
      </w:r>
      <w:r w:rsidR="0045303A">
        <w:t xml:space="preserve"> </w:t>
      </w:r>
      <w:r w:rsidR="00E3548D">
        <w:t xml:space="preserve">during the early stages of the plan period and </w:t>
      </w:r>
      <w:r w:rsidR="0045303A">
        <w:t>assumptions on where any new station locations may be sited</w:t>
      </w:r>
      <w:r w:rsidR="00475296">
        <w:t xml:space="preserve">.  There is no certainty that the </w:t>
      </w:r>
      <w:r w:rsidR="00E3548D">
        <w:t xml:space="preserve">potential </w:t>
      </w:r>
      <w:r w:rsidR="00475296">
        <w:t>EWR</w:t>
      </w:r>
      <w:r w:rsidR="00E3548D">
        <w:t xml:space="preserve"> scheme between Bedford and Cambridge</w:t>
      </w:r>
      <w:r w:rsidR="00475296">
        <w:t xml:space="preserve"> will be delivered</w:t>
      </w:r>
      <w:r w:rsidR="005C33D6">
        <w:t>.  T</w:t>
      </w:r>
      <w:r w:rsidR="00475296">
        <w:t>here is no</w:t>
      </w:r>
      <w:r w:rsidR="00240BEF">
        <w:t xml:space="preserve">t currently any funding, nor is there a definitive plan for the route </w:t>
      </w:r>
      <w:r w:rsidR="009C3707">
        <w:t>or new station locations</w:t>
      </w:r>
      <w:r w:rsidR="005C33D6">
        <w:t xml:space="preserve"> given the stage reach</w:t>
      </w:r>
      <w:r w:rsidR="00B84913">
        <w:t>ed</w:t>
      </w:r>
      <w:r w:rsidR="005C33D6">
        <w:t xml:space="preserve"> </w:t>
      </w:r>
      <w:r w:rsidR="006F5863">
        <w:t xml:space="preserve">to date </w:t>
      </w:r>
      <w:r w:rsidR="005C33D6">
        <w:t>(non-statutory consultation</w:t>
      </w:r>
      <w:r w:rsidR="006F5863">
        <w:t xml:space="preserve"> stages only</w:t>
      </w:r>
      <w:r w:rsidR="005C33D6">
        <w:t>)</w:t>
      </w:r>
      <w:r w:rsidR="009C3707">
        <w:t>.</w:t>
      </w:r>
    </w:p>
    <w:p w14:paraId="02D52F4E" w14:textId="37D2BC14" w:rsidR="006C45F2" w:rsidRDefault="009C3707" w:rsidP="00971DF5">
      <w:pPr>
        <w:jc w:val="both"/>
      </w:pPr>
      <w:r>
        <w:t>A</w:t>
      </w:r>
      <w:r w:rsidR="00240BEF">
        <w:t xml:space="preserve">s such to focus development </w:t>
      </w:r>
      <w:r w:rsidR="0045303A">
        <w:t>based on a</w:t>
      </w:r>
      <w:r w:rsidR="006F5863">
        <w:t xml:space="preserve"> non-statutory</w:t>
      </w:r>
      <w:r w:rsidR="0045303A">
        <w:t xml:space="preserve"> options stage of the EWR project </w:t>
      </w:r>
      <w:r w:rsidR="00240BEF">
        <w:t>is considered to be</w:t>
      </w:r>
      <w:r w:rsidR="001A203D">
        <w:t xml:space="preserve"> unjustified. </w:t>
      </w:r>
      <w:r w:rsidR="00AB7262">
        <w:t xml:space="preserve"> Accordingly, t</w:t>
      </w:r>
      <w:r w:rsidR="00B84913">
        <w:t xml:space="preserve">he </w:t>
      </w:r>
      <w:r w:rsidR="00AB7262">
        <w:t xml:space="preserve">draft BLP2040 </w:t>
      </w:r>
      <w:r w:rsidR="00B84913">
        <w:t xml:space="preserve">Plan should </w:t>
      </w:r>
      <w:r w:rsidR="00AB7262">
        <w:t>be considered unsound</w:t>
      </w:r>
      <w:r w:rsidR="00B84913">
        <w:t xml:space="preserve">. </w:t>
      </w:r>
      <w:r w:rsidR="00365781">
        <w:t xml:space="preserve">The Plan should acknowledge that EWR is a possibility </w:t>
      </w:r>
      <w:r w:rsidR="0045303A">
        <w:t xml:space="preserve">to support and direct growth in the </w:t>
      </w:r>
      <w:proofErr w:type="gramStart"/>
      <w:r w:rsidR="0045303A">
        <w:t>future</w:t>
      </w:r>
      <w:proofErr w:type="gramEnd"/>
      <w:r w:rsidR="0045303A">
        <w:t xml:space="preserve"> </w:t>
      </w:r>
      <w:r w:rsidR="00365781">
        <w:t xml:space="preserve">but </w:t>
      </w:r>
      <w:r w:rsidR="0045303A">
        <w:t xml:space="preserve">it cannot rely upon EWR </w:t>
      </w:r>
      <w:r>
        <w:t>for the purposes of plan-making at this Regulation 19 stage.  The</w:t>
      </w:r>
      <w:r w:rsidR="00DA3ECA">
        <w:t xml:space="preserve"> submission</w:t>
      </w:r>
      <w:r>
        <w:t xml:space="preserve"> plan and evidence base should ensure </w:t>
      </w:r>
      <w:r w:rsidR="00365781">
        <w:t xml:space="preserve">that </w:t>
      </w:r>
      <w:r>
        <w:t xml:space="preserve">all proposed allocations for growth </w:t>
      </w:r>
      <w:r w:rsidR="00A85CAF">
        <w:t xml:space="preserve">are fully evidenced and </w:t>
      </w:r>
      <w:r w:rsidR="005967CD">
        <w:t>implementable</w:t>
      </w:r>
      <w:r w:rsidR="001305D7">
        <w:t xml:space="preserve"> as required</w:t>
      </w:r>
      <w:r w:rsidR="005D5B25">
        <w:t xml:space="preserve">. </w:t>
      </w:r>
    </w:p>
    <w:p w14:paraId="68C047EF" w14:textId="10232CE1" w:rsidR="002E3E3D" w:rsidRDefault="002E3E3D" w:rsidP="002E3E3D">
      <w:pPr>
        <w:jc w:val="both"/>
      </w:pPr>
      <w:r>
        <w:t xml:space="preserve">It is considered premature to allocate a new settlement in an area where there is no certainty on a station actually being delivered.  The stage that relates to this location is the third and final stage ‘Bedford to Cambridge’ which is </w:t>
      </w:r>
      <w:r w:rsidR="00F85BB4">
        <w:t xml:space="preserve">still </w:t>
      </w:r>
      <w:r>
        <w:t xml:space="preserve">in the early </w:t>
      </w:r>
      <w:r w:rsidR="00F85BB4">
        <w:t xml:space="preserve">(non-statutory) </w:t>
      </w:r>
      <w:r>
        <w:t xml:space="preserve">stages of consideration.  There is no clear timetable by EWR on the final route to be progressed or the Development Consent Order process that it would need to complete to give certainty to the scheme from which the location, amount and type of growth can be evidenced and justified.   </w:t>
      </w:r>
    </w:p>
    <w:p w14:paraId="19C46BC1" w14:textId="75DB76BB" w:rsidR="00A76A86" w:rsidRDefault="002E3E3D" w:rsidP="002E3E3D">
      <w:pPr>
        <w:jc w:val="both"/>
      </w:pPr>
      <w:r>
        <w:t>Although it is acknowledged that much of the housing</w:t>
      </w:r>
      <w:r w:rsidR="00004D24">
        <w:t xml:space="preserve"> at Little Barford </w:t>
      </w:r>
      <w:r>
        <w:t xml:space="preserve">will be provided towards the end of the plan period given the size of the site, delivery would have to start </w:t>
      </w:r>
      <w:r w:rsidR="00063732">
        <w:t xml:space="preserve">shortly after the adoption of the plan </w:t>
      </w:r>
      <w:r>
        <w:t xml:space="preserve">to ensure that the site is largely complete by 2040 to enable the 3,800 homes to be relied upon.  </w:t>
      </w:r>
    </w:p>
    <w:p w14:paraId="33948998" w14:textId="16FD55BB" w:rsidR="002E3E3D" w:rsidRDefault="002E3E3D" w:rsidP="002E3E3D">
      <w:pPr>
        <w:jc w:val="both"/>
      </w:pPr>
      <w:r>
        <w:t xml:space="preserve">It is possible that the </w:t>
      </w:r>
      <w:r w:rsidR="00A76A86">
        <w:t xml:space="preserve">full </w:t>
      </w:r>
      <w:r>
        <w:t xml:space="preserve">EWR project </w:t>
      </w:r>
      <w:r w:rsidR="00A76A86">
        <w:t xml:space="preserve">as originally envisaged by the Government to </w:t>
      </w:r>
      <w:r w:rsidR="00E008D5">
        <w:t>connect</w:t>
      </w:r>
      <w:r w:rsidR="00A76A86">
        <w:t xml:space="preserve"> Oxford to Cambridge </w:t>
      </w:r>
      <w:r>
        <w:t xml:space="preserve">will not be completed.  </w:t>
      </w:r>
      <w:r w:rsidR="00E008D5">
        <w:t>The Government has already announced its rollback of the Oxford to Cambridge Arc</w:t>
      </w:r>
      <w:r w:rsidR="004C039C">
        <w:t>.</w:t>
      </w:r>
      <w:r w:rsidR="00E008D5">
        <w:t xml:space="preserve"> </w:t>
      </w:r>
      <w:r>
        <w:t xml:space="preserve">Even if </w:t>
      </w:r>
      <w:r w:rsidR="00A76A86">
        <w:t xml:space="preserve">the route </w:t>
      </w:r>
      <w:r w:rsidR="00530D3C">
        <w:t xml:space="preserve">beyond Bedford </w:t>
      </w:r>
      <w:r>
        <w:t xml:space="preserve">is progressed, fundamental decisions on the final </w:t>
      </w:r>
      <w:r w:rsidR="00530D3C">
        <w:lastRenderedPageBreak/>
        <w:t xml:space="preserve">alignment </w:t>
      </w:r>
      <w:r>
        <w:t xml:space="preserve">and station locations </w:t>
      </w:r>
      <w:r w:rsidR="00530D3C">
        <w:t>is not yet known. S</w:t>
      </w:r>
      <w:r>
        <w:t>ufficient certainty cannot be given at the current time to justify a spatial strategy that includes the Little Barford New Settlement policy.  The EWR team are still reviewing consultation responses on the 2021 public consultation on five route alignments</w:t>
      </w:r>
      <w:r w:rsidR="00D057F6">
        <w:t xml:space="preserve"> and there is no forward programme available to enable BBC to </w:t>
      </w:r>
      <w:r w:rsidR="009D77E5">
        <w:t>progress through to the submission of the draft plan</w:t>
      </w:r>
      <w:r>
        <w:t>.</w:t>
      </w:r>
    </w:p>
    <w:p w14:paraId="3C7807A7" w14:textId="77777777" w:rsidR="003C5B70" w:rsidRDefault="00741BDA" w:rsidP="002E3E3D">
      <w:pPr>
        <w:jc w:val="both"/>
      </w:pPr>
      <w:r>
        <w:t>The neighbouring authorities of Huntingdonshire, South Cambridgeshire and Cambridge City Counc</w:t>
      </w:r>
      <w:r w:rsidR="00184FCC">
        <w:t xml:space="preserve">il and Central Bedfordshire have not been able to progress their respective Local Plan reviews given these uncertainties. The Greater Cambridge Local Plan team </w:t>
      </w:r>
      <w:r w:rsidR="00DF3200">
        <w:t xml:space="preserve">has </w:t>
      </w:r>
      <w:r w:rsidR="00D51CE6">
        <w:t>revised their Local Development Scheme to take account of the delays and the fact that the new station location</w:t>
      </w:r>
      <w:r w:rsidR="00DF3200">
        <w:t>s</w:t>
      </w:r>
      <w:r w:rsidR="00D51CE6">
        <w:t xml:space="preserve"> are </w:t>
      </w:r>
      <w:r w:rsidR="001530C8">
        <w:t xml:space="preserve">not </w:t>
      </w:r>
      <w:proofErr w:type="gramStart"/>
      <w:r w:rsidR="001530C8">
        <w:t>fixed</w:t>
      </w:r>
      <w:proofErr w:type="gramEnd"/>
      <w:r w:rsidR="001530C8">
        <w:t xml:space="preserve"> and it is not possible therefore to properly evidence any related development allocations that they may propose. </w:t>
      </w:r>
    </w:p>
    <w:p w14:paraId="3CC8DD04" w14:textId="4BF881C4" w:rsidR="00BA1483" w:rsidRDefault="001530C8" w:rsidP="002E3E3D">
      <w:pPr>
        <w:jc w:val="both"/>
      </w:pPr>
      <w:r>
        <w:t>Central Bedfordshire</w:t>
      </w:r>
      <w:r w:rsidR="001117A9">
        <w:t xml:space="preserve"> administrative area</w:t>
      </w:r>
      <w:r>
        <w:t xml:space="preserve"> border</w:t>
      </w:r>
      <w:r w:rsidR="001117A9">
        <w:t>s</w:t>
      </w:r>
      <w:r>
        <w:t xml:space="preserve"> the Little Barford New Settlement </w:t>
      </w:r>
      <w:proofErr w:type="gramStart"/>
      <w:r w:rsidR="001117A9">
        <w:t>proposal</w:t>
      </w:r>
      <w:proofErr w:type="gramEnd"/>
      <w:r w:rsidR="001117A9">
        <w:t xml:space="preserve"> and the new station location would have a direct impact on where they may opt to place some of their future growth requirements. </w:t>
      </w:r>
    </w:p>
    <w:p w14:paraId="47F6F13A" w14:textId="3FB85BFC" w:rsidR="00A35AD8" w:rsidRDefault="00A35AD8" w:rsidP="002E3E3D">
      <w:pPr>
        <w:jc w:val="both"/>
      </w:pPr>
      <w:r>
        <w:t>The EWR June 2021 Non statutory consultation documents stated:</w:t>
      </w:r>
    </w:p>
    <w:p w14:paraId="3645FBBE" w14:textId="43BBF9C9" w:rsidR="001530C8" w:rsidRPr="00A35AD8" w:rsidRDefault="001117A9" w:rsidP="002E3E3D">
      <w:pPr>
        <w:jc w:val="both"/>
        <w:rPr>
          <w:i/>
          <w:iCs/>
        </w:rPr>
      </w:pPr>
      <w:r w:rsidRPr="00A35AD8">
        <w:rPr>
          <w:i/>
          <w:iCs/>
        </w:rPr>
        <w:t xml:space="preserve"> </w:t>
      </w:r>
      <w:r w:rsidR="00A35AD8" w:rsidRPr="00A35AD8">
        <w:rPr>
          <w:i/>
          <w:iCs/>
        </w:rPr>
        <w:t>Work is ongoing to consider whether it is preferable for the railway alignment to</w:t>
      </w:r>
      <w:r w:rsidR="00EB4DEF">
        <w:rPr>
          <w:i/>
          <w:iCs/>
        </w:rPr>
        <w:t xml:space="preserve"> </w:t>
      </w:r>
      <w:r w:rsidR="00A35AD8" w:rsidRPr="00A35AD8">
        <w:rPr>
          <w:i/>
          <w:iCs/>
        </w:rPr>
        <w:t xml:space="preserve">serve a station at </w:t>
      </w:r>
      <w:proofErr w:type="spellStart"/>
      <w:r w:rsidR="00A35AD8" w:rsidRPr="00A35AD8">
        <w:rPr>
          <w:i/>
          <w:iCs/>
        </w:rPr>
        <w:t>Tempsford</w:t>
      </w:r>
      <w:proofErr w:type="spellEnd"/>
      <w:r w:rsidR="00A35AD8" w:rsidRPr="00A35AD8">
        <w:rPr>
          <w:i/>
          <w:iCs/>
        </w:rPr>
        <w:t xml:space="preserve"> or St Neots South. We currently understand that there</w:t>
      </w:r>
      <w:r w:rsidR="00EB4DEF">
        <w:rPr>
          <w:i/>
          <w:iCs/>
        </w:rPr>
        <w:t xml:space="preserve"> </w:t>
      </w:r>
      <w:r w:rsidR="00A35AD8" w:rsidRPr="00A35AD8">
        <w:rPr>
          <w:i/>
          <w:iCs/>
        </w:rPr>
        <w:t xml:space="preserve">could be substantial advantages to choosing to go via </w:t>
      </w:r>
      <w:proofErr w:type="spellStart"/>
      <w:r w:rsidR="00A35AD8" w:rsidRPr="00A35AD8">
        <w:rPr>
          <w:i/>
          <w:iCs/>
        </w:rPr>
        <w:t>Tempsford</w:t>
      </w:r>
      <w:proofErr w:type="spellEnd"/>
      <w:r w:rsidR="00A35AD8" w:rsidRPr="00A35AD8">
        <w:rPr>
          <w:i/>
          <w:iCs/>
        </w:rPr>
        <w:t xml:space="preserve"> but are awaiting</w:t>
      </w:r>
      <w:r w:rsidR="00EB4DEF">
        <w:rPr>
          <w:i/>
          <w:iCs/>
        </w:rPr>
        <w:t xml:space="preserve"> </w:t>
      </w:r>
      <w:r w:rsidR="00A35AD8" w:rsidRPr="00A35AD8">
        <w:rPr>
          <w:i/>
          <w:iCs/>
        </w:rPr>
        <w:t>further evidence to give us confidence in that judgement.”</w:t>
      </w:r>
      <w:r w:rsidR="00EB4DEF">
        <w:rPr>
          <w:i/>
          <w:iCs/>
        </w:rPr>
        <w:t xml:space="preserve"> </w:t>
      </w:r>
    </w:p>
    <w:p w14:paraId="26F846F8" w14:textId="67CA19D4" w:rsidR="0019688B" w:rsidRDefault="007325BC" w:rsidP="002E3E3D">
      <w:pPr>
        <w:jc w:val="both"/>
      </w:pPr>
      <w:r>
        <w:t xml:space="preserve">It is </w:t>
      </w:r>
      <w:r w:rsidR="002631CA">
        <w:t xml:space="preserve">widely publicised that Central Bedfordshire are considering </w:t>
      </w:r>
      <w:r w:rsidR="00D66047">
        <w:t xml:space="preserve">the potential option for </w:t>
      </w:r>
      <w:r w:rsidR="002631CA">
        <w:t xml:space="preserve">a significant </w:t>
      </w:r>
      <w:r w:rsidR="00D66047">
        <w:t xml:space="preserve">new community </w:t>
      </w:r>
      <w:r w:rsidR="002631CA">
        <w:t xml:space="preserve">at </w:t>
      </w:r>
      <w:proofErr w:type="spellStart"/>
      <w:r w:rsidR="002631CA">
        <w:t>Tempsford</w:t>
      </w:r>
      <w:proofErr w:type="spellEnd"/>
      <w:r w:rsidR="002631CA">
        <w:t xml:space="preserve"> should that option be </w:t>
      </w:r>
      <w:r w:rsidR="00D66047">
        <w:t>chosen (c</w:t>
      </w:r>
      <w:r w:rsidR="00E9786A">
        <w:t xml:space="preserve">12,500 homes) which would directly </w:t>
      </w:r>
      <w:r w:rsidR="00106ED1">
        <w:t>adjoining</w:t>
      </w:r>
      <w:r w:rsidR="00E9786A">
        <w:t xml:space="preserve"> the proposed Little Barford New Settlement. </w:t>
      </w:r>
      <w:r w:rsidR="002B5C9A">
        <w:t xml:space="preserve">The potential for wider impacts has to be acknowledged and considered if BBC </w:t>
      </w:r>
      <w:r w:rsidR="00106ED1">
        <w:t xml:space="preserve">continue to </w:t>
      </w:r>
      <w:r w:rsidR="002B5C9A">
        <w:t>plough ahead without any certainty o</w:t>
      </w:r>
      <w:r w:rsidR="00FA2B5F">
        <w:t>f the EWR project and emerging strategies of the other LPA’s.</w:t>
      </w:r>
      <w:r w:rsidR="00EC09DD">
        <w:t xml:space="preserve">  </w:t>
      </w:r>
      <w:r w:rsidR="00962670" w:rsidRPr="00962670">
        <w:t xml:space="preserve">Central  Bedfordshire  has  </w:t>
      </w:r>
      <w:r w:rsidR="00962670">
        <w:t xml:space="preserve">set out in its response to the Arc Vision Consultation in October 2021 that it has </w:t>
      </w:r>
      <w:r w:rsidR="00962670" w:rsidRPr="00962670">
        <w:t>already  been</w:t>
      </w:r>
      <w:r w:rsidR="00962670">
        <w:t xml:space="preserve"> </w:t>
      </w:r>
      <w:r w:rsidR="00962670" w:rsidRPr="00962670">
        <w:t>detrimentally  impacted  and  future  growth  compromised  following  the  decision  not  to</w:t>
      </w:r>
      <w:r w:rsidR="004D2047">
        <w:t xml:space="preserve"> </w:t>
      </w:r>
      <w:r w:rsidR="00962670" w:rsidRPr="00962670">
        <w:t>progress with the planned Expressway, due to the significant capacity issues that need to be</w:t>
      </w:r>
      <w:r w:rsidR="004D2047">
        <w:t xml:space="preserve"> </w:t>
      </w:r>
      <w:r w:rsidR="00962670" w:rsidRPr="00962670">
        <w:t>addressed around Junction 13 of the M1 motorway</w:t>
      </w:r>
      <w:r w:rsidR="004D2047">
        <w:t>, po</w:t>
      </w:r>
      <w:r w:rsidR="00EC6CAC">
        <w:t xml:space="preserve">tentially placing further emphasis on needing to place its growth beyond 2035 </w:t>
      </w:r>
      <w:r w:rsidR="001206AE">
        <w:t>in locations that can take advantage of the EWR initiative.</w:t>
      </w:r>
      <w:r w:rsidR="004D2047">
        <w:t xml:space="preserve">  </w:t>
      </w:r>
    </w:p>
    <w:p w14:paraId="03659DCC" w14:textId="1F1871FE" w:rsidR="0019688B" w:rsidRDefault="0019688B" w:rsidP="002E3E3D">
      <w:pPr>
        <w:jc w:val="both"/>
      </w:pPr>
      <w:r>
        <w:rPr>
          <w:noProof/>
        </w:rPr>
        <w:drawing>
          <wp:inline distT="0" distB="0" distL="0" distR="0" wp14:anchorId="07D9EB21" wp14:editId="3BB246CF">
            <wp:extent cx="3556000" cy="2643479"/>
            <wp:effectExtent l="0" t="0" r="6350" b="5080"/>
            <wp:docPr id="9" name="Picture 9"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map&#10;&#10;Description automatically generated"/>
                    <pic:cNvPicPr/>
                  </pic:nvPicPr>
                  <pic:blipFill>
                    <a:blip r:embed="rId12"/>
                    <a:stretch>
                      <a:fillRect/>
                    </a:stretch>
                  </pic:blipFill>
                  <pic:spPr>
                    <a:xfrm>
                      <a:off x="0" y="0"/>
                      <a:ext cx="3560113" cy="2646537"/>
                    </a:xfrm>
                    <a:prstGeom prst="rect">
                      <a:avLst/>
                    </a:prstGeom>
                  </pic:spPr>
                </pic:pic>
              </a:graphicData>
            </a:graphic>
          </wp:inline>
        </w:drawing>
      </w:r>
    </w:p>
    <w:p w14:paraId="1C5A7F05" w14:textId="3E8C5020" w:rsidR="0019688B" w:rsidRPr="00552225" w:rsidRDefault="0019688B" w:rsidP="00552225">
      <w:pPr>
        <w:jc w:val="both"/>
        <w:rPr>
          <w:i/>
          <w:iCs/>
          <w:szCs w:val="20"/>
        </w:rPr>
      </w:pPr>
      <w:r w:rsidRPr="00552225">
        <w:rPr>
          <w:i/>
          <w:iCs/>
          <w:szCs w:val="20"/>
        </w:rPr>
        <w:t xml:space="preserve">Potential Development Area at </w:t>
      </w:r>
      <w:proofErr w:type="spellStart"/>
      <w:r w:rsidRPr="00552225">
        <w:rPr>
          <w:i/>
          <w:iCs/>
          <w:szCs w:val="20"/>
        </w:rPr>
        <w:t>Tempsford</w:t>
      </w:r>
      <w:proofErr w:type="spellEnd"/>
      <w:r w:rsidRPr="00552225">
        <w:rPr>
          <w:i/>
          <w:iCs/>
          <w:szCs w:val="20"/>
        </w:rPr>
        <w:t xml:space="preserve"> within Central Beds (Source – CBC Response to EWR June 2021 Consultation)</w:t>
      </w:r>
    </w:p>
    <w:p w14:paraId="36609613" w14:textId="77777777" w:rsidR="00807E02" w:rsidRDefault="0056181A" w:rsidP="000D04FC">
      <w:pPr>
        <w:jc w:val="both"/>
      </w:pPr>
      <w:r>
        <w:lastRenderedPageBreak/>
        <w:t xml:space="preserve">More recently, </w:t>
      </w:r>
      <w:r w:rsidR="00FF2EF7">
        <w:t xml:space="preserve">the Greater </w:t>
      </w:r>
      <w:r w:rsidR="00552225">
        <w:t>Cambridge</w:t>
      </w:r>
      <w:r w:rsidR="00FF2EF7">
        <w:t xml:space="preserve"> Local Plans team has reported on its draft response to the current consultation</w:t>
      </w:r>
      <w:r w:rsidR="000A0BCD">
        <w:t xml:space="preserve"> to its 11 July </w:t>
      </w:r>
      <w:r w:rsidR="00013BA3">
        <w:t>cabinet</w:t>
      </w:r>
      <w:r w:rsidR="00FF2EF7">
        <w:t xml:space="preserve">, </w:t>
      </w:r>
      <w:r w:rsidR="00FD5770">
        <w:t xml:space="preserve">also </w:t>
      </w:r>
      <w:r w:rsidR="00FF2EF7">
        <w:t xml:space="preserve">highlighting that </w:t>
      </w:r>
      <w:r w:rsidR="00FD5770">
        <w:t>“</w:t>
      </w:r>
      <w:r w:rsidR="00FF2EF7" w:rsidRPr="00FD5770">
        <w:rPr>
          <w:i/>
          <w:iCs/>
        </w:rPr>
        <w:t xml:space="preserve">the sustainability performance and deliverability of a new settlement at Little Barford is dependent on delivery of East West Rail and on the preferred East West Rail route alignment. The preferred alignment and wider programme for delivery of East West Rail have yet to be confirmed. The Sustainability Appraisal Report supporting the Plan for Submission acknowledges the risk of the delay or non- implementation of the planned East-West rail </w:t>
      </w:r>
      <w:proofErr w:type="gramStart"/>
      <w:r w:rsidR="00FF2EF7" w:rsidRPr="00FD5770">
        <w:rPr>
          <w:i/>
          <w:iCs/>
        </w:rPr>
        <w:t>project, but</w:t>
      </w:r>
      <w:proofErr w:type="gramEnd"/>
      <w:r w:rsidR="00FF2EF7" w:rsidRPr="00FD5770">
        <w:rPr>
          <w:i/>
          <w:iCs/>
        </w:rPr>
        <w:t xml:space="preserve"> does not identify the impacts of this eventualit</w:t>
      </w:r>
      <w:r w:rsidR="00FD5770">
        <w:rPr>
          <w:i/>
          <w:iCs/>
        </w:rPr>
        <w:t>y”</w:t>
      </w:r>
      <w:r w:rsidR="00FF2EF7">
        <w:t>.</w:t>
      </w:r>
      <w:r w:rsidR="00FF2EF7">
        <w:cr/>
      </w:r>
    </w:p>
    <w:p w14:paraId="667E2ACF" w14:textId="7172EB90" w:rsidR="0056181A" w:rsidRDefault="006F5176" w:rsidP="000D04FC">
      <w:pPr>
        <w:jc w:val="both"/>
      </w:pPr>
      <w:r>
        <w:t>T</w:t>
      </w:r>
      <w:r w:rsidR="000D04FC">
        <w:t>he</w:t>
      </w:r>
      <w:r w:rsidR="00013BA3">
        <w:t xml:space="preserve"> </w:t>
      </w:r>
      <w:r w:rsidR="00563DAD">
        <w:t>two authorities</w:t>
      </w:r>
      <w:r w:rsidR="00013BA3">
        <w:t xml:space="preserve"> </w:t>
      </w:r>
      <w:r w:rsidR="00545328">
        <w:t xml:space="preserve">(South Cambridgeshire and Cambridge City) </w:t>
      </w:r>
      <w:r w:rsidR="000D04FC">
        <w:t>ha</w:t>
      </w:r>
      <w:r w:rsidR="00013BA3">
        <w:t>ve</w:t>
      </w:r>
      <w:r w:rsidR="000D04FC">
        <w:t xml:space="preserve"> </w:t>
      </w:r>
      <w:r w:rsidR="000A0BCD">
        <w:t>resolved that</w:t>
      </w:r>
      <w:r w:rsidR="000D04FC">
        <w:t xml:space="preserve">, despite </w:t>
      </w:r>
      <w:r w:rsidR="00013BA3">
        <w:t xml:space="preserve">their own </w:t>
      </w:r>
      <w:r w:rsidR="000D04FC">
        <w:t xml:space="preserve">pressures to prepare a new joint plan for the Greater Cambridge area, </w:t>
      </w:r>
      <w:r w:rsidR="00EC5B73">
        <w:t xml:space="preserve">they </w:t>
      </w:r>
      <w:r w:rsidR="000D04FC">
        <w:t>recogni</w:t>
      </w:r>
      <w:r w:rsidR="00EC5B73">
        <w:t xml:space="preserve">se </w:t>
      </w:r>
      <w:r w:rsidR="000D04FC">
        <w:t>the need to monitor progress with the East West Rail programme and keep under review implications of any potential uncertainty around East West Rail as the plan is progressed</w:t>
      </w:r>
      <w:r w:rsidR="00807E02">
        <w:t xml:space="preserve"> and have rev</w:t>
      </w:r>
      <w:r w:rsidR="00447716">
        <w:t>i</w:t>
      </w:r>
      <w:r w:rsidR="00807E02">
        <w:t xml:space="preserve">sed their Local Development Scheme to </w:t>
      </w:r>
      <w:r w:rsidR="00447716">
        <w:t>reflect the delays.</w:t>
      </w:r>
      <w:r w:rsidR="00807E02">
        <w:t xml:space="preserve">  </w:t>
      </w:r>
    </w:p>
    <w:p w14:paraId="74D823E2" w14:textId="3323809C" w:rsidR="0056181A" w:rsidRDefault="00105E43" w:rsidP="002E3E3D">
      <w:pPr>
        <w:jc w:val="both"/>
      </w:pPr>
      <w:r w:rsidRPr="00105E43">
        <w:t xml:space="preserve">We also note the objections to the </w:t>
      </w:r>
      <w:r>
        <w:t xml:space="preserve">previous </w:t>
      </w:r>
      <w:r w:rsidRPr="00105E43">
        <w:t xml:space="preserve">spatial options at the Regulation 18 consultation stage of the draft BLP by </w:t>
      </w:r>
      <w:r w:rsidR="00726B30">
        <w:t xml:space="preserve">neighbouring </w:t>
      </w:r>
      <w:r w:rsidRPr="00105E43">
        <w:t xml:space="preserve">Huntingdonshire </w:t>
      </w:r>
      <w:r w:rsidR="00447716">
        <w:t xml:space="preserve">District </w:t>
      </w:r>
      <w:r w:rsidRPr="00105E43">
        <w:t>Council</w:t>
      </w:r>
      <w:r w:rsidR="00545328">
        <w:t xml:space="preserve"> over any spatial option that included land at Little Barford</w:t>
      </w:r>
      <w:r w:rsidRPr="00105E43">
        <w:t xml:space="preserve">.  </w:t>
      </w:r>
      <w:r w:rsidR="00726B30">
        <w:t xml:space="preserve"> </w:t>
      </w:r>
      <w:r w:rsidRPr="00105E43">
        <w:t xml:space="preserve">We echo their concern regarding the proposed location of significant growth to meet Bedford Boroughs needs at the boundary of their administrative area; and its impact on St Neots.  </w:t>
      </w:r>
      <w:r>
        <w:t xml:space="preserve">There is no adequate </w:t>
      </w:r>
      <w:r w:rsidRPr="00105E43">
        <w:t xml:space="preserve">assessment </w:t>
      </w:r>
      <w:r>
        <w:t xml:space="preserve">that </w:t>
      </w:r>
      <w:r w:rsidRPr="00105E43">
        <w:t xml:space="preserve">has been published </w:t>
      </w:r>
      <w:r w:rsidR="00AA4F53">
        <w:t xml:space="preserve">to support the plan that deals with </w:t>
      </w:r>
      <w:r w:rsidRPr="00105E43">
        <w:t>the impact of the Little Barford New Settlement proposal on S</w:t>
      </w:r>
      <w:r>
        <w:t>t</w:t>
      </w:r>
      <w:r w:rsidRPr="00105E43">
        <w:t xml:space="preserve"> Neots town</w:t>
      </w:r>
      <w:r>
        <w:t>.</w:t>
      </w:r>
      <w:r w:rsidR="00DF3910">
        <w:t xml:space="preserve">  It is our view that this </w:t>
      </w:r>
      <w:r w:rsidR="00E861EB">
        <w:t>allocation would function as a detached Sustainable Urban Extensio</w:t>
      </w:r>
      <w:r w:rsidR="008B054B">
        <w:t>n</w:t>
      </w:r>
      <w:r w:rsidR="00E861EB">
        <w:t xml:space="preserve"> to St Neots, rather than a </w:t>
      </w:r>
      <w:r w:rsidR="0016718B">
        <w:t xml:space="preserve">sustainable new settlement.  It is highly constrained by the </w:t>
      </w:r>
      <w:r w:rsidR="000E4945">
        <w:t xml:space="preserve">East Coast rail line that cuts the site in two.  If the A428 Improvement Scheme is properly </w:t>
      </w:r>
      <w:r w:rsidR="00C831D2">
        <w:t xml:space="preserve">referenced in the plan it would show that there are no direct connections into this site that can be relied upon as main strategic access points from which to </w:t>
      </w:r>
      <w:r w:rsidR="002B656C">
        <w:t xml:space="preserve">serve 4,000 new homes and associated land uses. </w:t>
      </w:r>
    </w:p>
    <w:p w14:paraId="18897123" w14:textId="113D399E" w:rsidR="00EB4DEF" w:rsidRDefault="00EC09DD" w:rsidP="002E3E3D">
      <w:pPr>
        <w:jc w:val="both"/>
      </w:pPr>
      <w:r>
        <w:t xml:space="preserve">This further demonstrates the </w:t>
      </w:r>
      <w:r w:rsidR="005234FE">
        <w:t xml:space="preserve">fact that BBC Sustainability Appraisal and supporting evidence when taken as a whole has significant shortcomings and cannot be relied upon. </w:t>
      </w:r>
      <w:r w:rsidR="002B5C9A">
        <w:t xml:space="preserve"> </w:t>
      </w:r>
      <w:r w:rsidR="00FA2B5F">
        <w:t xml:space="preserve"> </w:t>
      </w:r>
      <w:r w:rsidR="002B5C9A">
        <w:t xml:space="preserve"> </w:t>
      </w:r>
      <w:r w:rsidR="00D66047">
        <w:t xml:space="preserve"> </w:t>
      </w:r>
    </w:p>
    <w:p w14:paraId="646F6A07" w14:textId="3CB3023C" w:rsidR="002E3E3D" w:rsidRDefault="00106ED1" w:rsidP="002E3E3D">
      <w:pPr>
        <w:jc w:val="both"/>
      </w:pPr>
      <w:r>
        <w:t xml:space="preserve">We are also aware that </w:t>
      </w:r>
      <w:r w:rsidR="002E3E3D">
        <w:t xml:space="preserve">the Transport Secretary Grant </w:t>
      </w:r>
      <w:proofErr w:type="spellStart"/>
      <w:r w:rsidR="002E3E3D">
        <w:t>Shapps</w:t>
      </w:r>
      <w:proofErr w:type="spellEnd"/>
      <w:r w:rsidR="002E3E3D">
        <w:t xml:space="preserve"> thought the remaining stages of the EWR project “should be cancelled”, he added that he thought it would be the Department for Transport’s first choice for cancellation.  </w:t>
      </w:r>
      <w:r>
        <w:t>(Source: Cambridge News 19 July 2022)</w:t>
      </w:r>
      <w:r w:rsidR="007A2408">
        <w:t xml:space="preserve">.  </w:t>
      </w:r>
      <w:r w:rsidR="002E3E3D">
        <w:t xml:space="preserve">There is no Government funding currently secured for the remaining phases of the project, no permissions are in place and the route is yet to be defined, it is therefore reasonable to argue that there is a great deal of uncertainty on the delivery of this project.  Even if the </w:t>
      </w:r>
      <w:r w:rsidR="007A2408">
        <w:t xml:space="preserve">remaining sections of the scheme are </w:t>
      </w:r>
      <w:r w:rsidR="002E3E3D">
        <w:t xml:space="preserve">not scrapped in </w:t>
      </w:r>
      <w:r w:rsidR="007A2408">
        <w:t xml:space="preserve">their </w:t>
      </w:r>
      <w:r w:rsidR="002E3E3D">
        <w:t xml:space="preserve">entirety, it is still not certain where the stations would be albeit EWR state that they are happy to work with the local councils in this regard. </w:t>
      </w:r>
    </w:p>
    <w:p w14:paraId="00ED1C72" w14:textId="4A87AAB7" w:rsidR="00306D05" w:rsidRDefault="004363C1" w:rsidP="00306D05">
      <w:pPr>
        <w:jc w:val="both"/>
      </w:pPr>
      <w:r>
        <w:t>The Infrastructure and Major Projects A</w:t>
      </w:r>
      <w:r w:rsidR="00CF7CDD">
        <w:t xml:space="preserve">uthority Annual Report 2021-2022 </w:t>
      </w:r>
      <w:r w:rsidR="00306D05">
        <w:t xml:space="preserve">has changed the status for </w:t>
      </w:r>
      <w:r w:rsidR="00AF293A">
        <w:t xml:space="preserve">the </w:t>
      </w:r>
      <w:r w:rsidR="008F26B4">
        <w:t>remaining stages 2 and 3 of the EWR Initiative as ‘Red’</w:t>
      </w:r>
      <w:r w:rsidR="00306D05">
        <w:t xml:space="preserve"> which is expressed as “</w:t>
      </w:r>
      <w:r w:rsidR="00306D05" w:rsidRPr="00306D05">
        <w:rPr>
          <w:i/>
          <w:iCs/>
        </w:rPr>
        <w:t>Successful delivery of the project appears to be unachievable. There are major issues with project definition, schedule, budget, quality and/or benefits delivery, which at this stage do not appear to be manageable or resolvable. The project may need re-scoping and/or its overall viability reassessed</w:t>
      </w:r>
      <w:r w:rsidR="00306D05">
        <w:t>”.</w:t>
      </w:r>
    </w:p>
    <w:p w14:paraId="33B26BDC" w14:textId="77777777" w:rsidR="008B054B" w:rsidRDefault="008B054B" w:rsidP="002E3E3D">
      <w:pPr>
        <w:jc w:val="both"/>
      </w:pPr>
    </w:p>
    <w:p w14:paraId="69DC1DB0" w14:textId="77777777" w:rsidR="008B054B" w:rsidRDefault="008B054B" w:rsidP="002E3E3D">
      <w:pPr>
        <w:jc w:val="both"/>
      </w:pPr>
    </w:p>
    <w:p w14:paraId="0E4CD042" w14:textId="77777777" w:rsidR="008B054B" w:rsidRDefault="008B054B" w:rsidP="002E3E3D">
      <w:pPr>
        <w:jc w:val="both"/>
      </w:pPr>
    </w:p>
    <w:p w14:paraId="7011B6FA" w14:textId="77777777" w:rsidR="008B054B" w:rsidRDefault="008B054B" w:rsidP="002E3E3D">
      <w:pPr>
        <w:jc w:val="both"/>
      </w:pPr>
    </w:p>
    <w:p w14:paraId="4BB4130C" w14:textId="33DE3E88" w:rsidR="00306D05" w:rsidRDefault="00306D05" w:rsidP="002E3E3D">
      <w:pPr>
        <w:jc w:val="both"/>
      </w:pPr>
      <w:r>
        <w:lastRenderedPageBreak/>
        <w:t>The relevant extract is reproduced below:</w:t>
      </w:r>
    </w:p>
    <w:p w14:paraId="7BE844EE" w14:textId="0E3F7F44" w:rsidR="008F26B4" w:rsidRDefault="00104621" w:rsidP="002E3E3D">
      <w:pPr>
        <w:jc w:val="both"/>
      </w:pPr>
      <w:r>
        <w:rPr>
          <w:noProof/>
        </w:rPr>
        <w:drawing>
          <wp:inline distT="0" distB="0" distL="0" distR="0" wp14:anchorId="3501FCFD" wp14:editId="285352F9">
            <wp:extent cx="4905375" cy="1162050"/>
            <wp:effectExtent l="0" t="0" r="9525" b="0"/>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13"/>
                    <a:stretch>
                      <a:fillRect/>
                    </a:stretch>
                  </pic:blipFill>
                  <pic:spPr>
                    <a:xfrm>
                      <a:off x="0" y="0"/>
                      <a:ext cx="4905375" cy="1162050"/>
                    </a:xfrm>
                    <a:prstGeom prst="rect">
                      <a:avLst/>
                    </a:prstGeom>
                  </pic:spPr>
                </pic:pic>
              </a:graphicData>
            </a:graphic>
          </wp:inline>
        </w:drawing>
      </w:r>
    </w:p>
    <w:p w14:paraId="11059469" w14:textId="5191630B" w:rsidR="004363C1" w:rsidRPr="008B054B" w:rsidRDefault="00104621" w:rsidP="002E3E3D">
      <w:pPr>
        <w:jc w:val="both"/>
        <w:rPr>
          <w:i/>
          <w:iCs/>
        </w:rPr>
      </w:pPr>
      <w:r w:rsidRPr="008B054B">
        <w:rPr>
          <w:i/>
          <w:iCs/>
        </w:rPr>
        <w:t>Source: IPA Annual Report on Major Projects 2011-2022</w:t>
      </w:r>
      <w:r w:rsidR="00594B9A" w:rsidRPr="008B054B">
        <w:rPr>
          <w:i/>
          <w:iCs/>
        </w:rPr>
        <w:t xml:space="preserve">, </w:t>
      </w:r>
      <w:proofErr w:type="spellStart"/>
      <w:r w:rsidR="00594B9A" w:rsidRPr="008B054B">
        <w:rPr>
          <w:i/>
          <w:iCs/>
        </w:rPr>
        <w:t>pg</w:t>
      </w:r>
      <w:proofErr w:type="spellEnd"/>
      <w:r w:rsidR="00594B9A" w:rsidRPr="008B054B">
        <w:rPr>
          <w:i/>
          <w:iCs/>
        </w:rPr>
        <w:t xml:space="preserve"> 54.</w:t>
      </w:r>
    </w:p>
    <w:p w14:paraId="53D0C9B1" w14:textId="77777777" w:rsidR="00594B9A" w:rsidRDefault="00594B9A" w:rsidP="002E3E3D">
      <w:pPr>
        <w:jc w:val="both"/>
      </w:pPr>
    </w:p>
    <w:p w14:paraId="21437845" w14:textId="09C6A1E4" w:rsidR="002E3E3D" w:rsidRDefault="002E3E3D" w:rsidP="002E3E3D">
      <w:pPr>
        <w:jc w:val="both"/>
      </w:pPr>
      <w:r>
        <w:t xml:space="preserve">If the </w:t>
      </w:r>
      <w:r w:rsidR="00324EA7">
        <w:t xml:space="preserve">Bedford to Cambridge </w:t>
      </w:r>
      <w:r>
        <w:t xml:space="preserve">section of the EWR project </w:t>
      </w:r>
      <w:r w:rsidR="00935476">
        <w:t>is</w:t>
      </w:r>
      <w:r>
        <w:t xml:space="preserve"> </w:t>
      </w:r>
      <w:r w:rsidR="004A2A7E">
        <w:t xml:space="preserve">eventually </w:t>
      </w:r>
      <w:r w:rsidR="00324EA7">
        <w:t>abandoned</w:t>
      </w:r>
      <w:r>
        <w:t xml:space="preserve">, </w:t>
      </w:r>
      <w:r w:rsidR="00324EA7">
        <w:t>we</w:t>
      </w:r>
      <w:r>
        <w:t xml:space="preserve"> </w:t>
      </w:r>
      <w:r w:rsidR="00324EA7">
        <w:t>consider</w:t>
      </w:r>
      <w:r>
        <w:t xml:space="preserve"> the sustainability and connectivity of development in this location would </w:t>
      </w:r>
      <w:r w:rsidR="008E047A">
        <w:t>alter</w:t>
      </w:r>
      <w:r>
        <w:t>.  To our knowledge this</w:t>
      </w:r>
      <w:r w:rsidR="008E047A">
        <w:t xml:space="preserve"> possibility</w:t>
      </w:r>
      <w:r>
        <w:t xml:space="preserve"> has not been tested in any of the supporting evidence.  Conversely, throughout the supporting evidence, it is very much suggested that the provision of East West Rail through the site is key to the </w:t>
      </w:r>
      <w:r w:rsidR="00C80163">
        <w:t>appropriateness of the site for</w:t>
      </w:r>
      <w:r>
        <w:t xml:space="preserve"> development.  </w:t>
      </w:r>
    </w:p>
    <w:p w14:paraId="553F8CA4" w14:textId="4F52C228" w:rsidR="002E3E3D" w:rsidRDefault="002E3E3D" w:rsidP="002E3E3D">
      <w:pPr>
        <w:jc w:val="both"/>
      </w:pPr>
      <w:r>
        <w:t xml:space="preserve">The Development Strategy Topic Paper (May 2022) states that the coordination of the </w:t>
      </w:r>
      <w:proofErr w:type="spellStart"/>
      <w:r>
        <w:t>Wyboston</w:t>
      </w:r>
      <w:proofErr w:type="spellEnd"/>
      <w:r>
        <w:t xml:space="preserve"> and Little Barford proposals alongside the delivery of the EWR project and the A42</w:t>
      </w:r>
      <w:r w:rsidR="00060B37">
        <w:t>1</w:t>
      </w:r>
      <w:r>
        <w:t xml:space="preserve"> road improvements scheme is challenging.  The schemes were all tested against the sustainability appraisal framework, with Little Barford being given the advantage due to the planned East West Rail interchange in addition to avoiding the </w:t>
      </w:r>
      <w:proofErr w:type="gramStart"/>
      <w:r>
        <w:t>high quality</w:t>
      </w:r>
      <w:proofErr w:type="gramEnd"/>
      <w:r>
        <w:t xml:space="preserve"> agricultural land. Effectively this scheme has been unfairly and unjustifiably ranked higher due to a sustainable connection which is unreliable.  This is a fundamental failing of the Local Plan and its evidence and needs to be rectified prior to it being submitted for examination.  Additional work is required to ensure that a development of such size is correctly located and without additional research and justification the plan should not be considered sound. </w:t>
      </w:r>
    </w:p>
    <w:p w14:paraId="5B07A9DD" w14:textId="77777777" w:rsidR="00A957DC" w:rsidRDefault="00A957DC" w:rsidP="00B6038E">
      <w:pPr>
        <w:jc w:val="both"/>
        <w:rPr>
          <w:b/>
          <w:bCs/>
        </w:rPr>
      </w:pPr>
    </w:p>
    <w:p w14:paraId="6D3C3291" w14:textId="79B2CA4B" w:rsidR="00832E35" w:rsidRDefault="00EF4F01" w:rsidP="00B6038E">
      <w:pPr>
        <w:jc w:val="both"/>
      </w:pPr>
      <w:r w:rsidRPr="00832E35">
        <w:rPr>
          <w:b/>
          <w:bCs/>
        </w:rPr>
        <w:t>Policy DS2(S) ‘Spatial Strategy’</w:t>
      </w:r>
      <w:r>
        <w:t xml:space="preserve"> </w:t>
      </w:r>
    </w:p>
    <w:p w14:paraId="79351746" w14:textId="3E7DBD91" w:rsidR="00CE7A34" w:rsidRDefault="00832E35" w:rsidP="00B6038E">
      <w:pPr>
        <w:jc w:val="both"/>
      </w:pPr>
      <w:r>
        <w:t xml:space="preserve">This policy </w:t>
      </w:r>
      <w:r w:rsidR="00A264D1">
        <w:t>starts by stating that ‘development will be focussed within the urban area, at specifi</w:t>
      </w:r>
      <w:r w:rsidR="00C80251">
        <w:t>ed locations adjacent to the urban area and at growth locations within the A421 / East West Rail corridor</w:t>
      </w:r>
      <w:r w:rsidR="008711B4">
        <w:t xml:space="preserve">.’.  </w:t>
      </w:r>
      <w:r w:rsidR="008711B4" w:rsidRPr="00515454">
        <w:t xml:space="preserve">Limb </w:t>
      </w:r>
      <w:r w:rsidR="00515454">
        <w:t>x</w:t>
      </w:r>
      <w:r w:rsidR="008711B4">
        <w:t xml:space="preserve"> specifically states: </w:t>
      </w:r>
      <w:r w:rsidR="008711B4">
        <w:tab/>
      </w:r>
    </w:p>
    <w:p w14:paraId="5AFD125E" w14:textId="15765F5C" w:rsidR="00EF4F01" w:rsidRPr="00CE7A34" w:rsidRDefault="008711B4" w:rsidP="00B6038E">
      <w:pPr>
        <w:jc w:val="both"/>
        <w:rPr>
          <w:i/>
          <w:iCs/>
        </w:rPr>
      </w:pPr>
      <w:r w:rsidRPr="00CE7A34">
        <w:rPr>
          <w:i/>
          <w:iCs/>
        </w:rPr>
        <w:t>“</w:t>
      </w:r>
      <w:r w:rsidR="00410A2A" w:rsidRPr="00CE7A34">
        <w:rPr>
          <w:i/>
          <w:iCs/>
        </w:rPr>
        <w:t>A new settlement and related employment provision at Little Barford well connected to the new East-West Rail station at its intersection with the East Coast Main Line.”</w:t>
      </w:r>
    </w:p>
    <w:p w14:paraId="47847E19" w14:textId="77777777" w:rsidR="00B87827" w:rsidRDefault="00410A2A" w:rsidP="00B6038E">
      <w:pPr>
        <w:jc w:val="both"/>
      </w:pPr>
      <w:r>
        <w:t xml:space="preserve">We fail to see how this </w:t>
      </w:r>
      <w:r w:rsidR="00796E00">
        <w:t xml:space="preserve">proposed allocation </w:t>
      </w:r>
      <w:r w:rsidR="001218E6">
        <w:t>is justified at the current time,</w:t>
      </w:r>
      <w:r w:rsidR="009D1C8B">
        <w:t xml:space="preserve"> until there is further certainty on the route alignment, new station location and </w:t>
      </w:r>
      <w:r w:rsidR="00FC058C">
        <w:t xml:space="preserve">delivery timetable </w:t>
      </w:r>
      <w:r w:rsidR="009D1C8B">
        <w:t xml:space="preserve">or, whether it </w:t>
      </w:r>
      <w:r w:rsidR="00796E00">
        <w:t xml:space="preserve">could be sustained </w:t>
      </w:r>
      <w:r>
        <w:t xml:space="preserve">if the EWR </w:t>
      </w:r>
      <w:r w:rsidR="00FC058C">
        <w:t>initiative is cancelled</w:t>
      </w:r>
      <w:r w:rsidR="00D30D32">
        <w:t>.  The text therefore needs to be amended and the reference to</w:t>
      </w:r>
      <w:r w:rsidR="00CC3759">
        <w:t xml:space="preserve"> the new</w:t>
      </w:r>
      <w:r w:rsidR="00D30D32">
        <w:t xml:space="preserve"> EWR </w:t>
      </w:r>
      <w:r w:rsidR="00CC3759">
        <w:t xml:space="preserve">station </w:t>
      </w:r>
      <w:r w:rsidR="00D30D32">
        <w:t>needs to be removed</w:t>
      </w:r>
      <w:r w:rsidR="00CC3759">
        <w:t xml:space="preserve">.  </w:t>
      </w:r>
    </w:p>
    <w:p w14:paraId="2FA1499E" w14:textId="458BB40A" w:rsidR="008124F1" w:rsidRDefault="00B87827" w:rsidP="00B6038E">
      <w:pPr>
        <w:jc w:val="both"/>
      </w:pPr>
      <w:proofErr w:type="gramStart"/>
      <w:r>
        <w:t xml:space="preserve">In doing so, </w:t>
      </w:r>
      <w:r w:rsidR="00D30D32">
        <w:t>there</w:t>
      </w:r>
      <w:proofErr w:type="gramEnd"/>
      <w:r w:rsidR="00D30D32">
        <w:t xml:space="preserve"> would need to be </w:t>
      </w:r>
      <w:r w:rsidR="00604120">
        <w:t>further evidence to</w:t>
      </w:r>
      <w:r w:rsidR="00D66BA2">
        <w:t xml:space="preserve"> demonstrate that </w:t>
      </w:r>
      <w:r w:rsidR="00D30D32">
        <w:t>this large development</w:t>
      </w:r>
      <w:r w:rsidR="00604120">
        <w:t xml:space="preserve"> i</w:t>
      </w:r>
      <w:r w:rsidR="00D66BA2">
        <w:t>s suitable and achievable i</w:t>
      </w:r>
      <w:r w:rsidR="00604120">
        <w:t>n this location</w:t>
      </w:r>
      <w:r w:rsidR="00076BA9">
        <w:t xml:space="preserve"> regardless</w:t>
      </w:r>
      <w:r w:rsidR="00D30D32">
        <w:t xml:space="preserve">. </w:t>
      </w:r>
      <w:r w:rsidR="00CD5BB8">
        <w:t xml:space="preserve"> </w:t>
      </w:r>
      <w:r w:rsidR="00076BA9">
        <w:t xml:space="preserve"> </w:t>
      </w:r>
    </w:p>
    <w:p w14:paraId="3BD88944" w14:textId="77777777" w:rsidR="00A35278" w:rsidRDefault="00A35278" w:rsidP="00B6038E">
      <w:pPr>
        <w:jc w:val="both"/>
        <w:rPr>
          <w:b/>
          <w:bCs/>
        </w:rPr>
      </w:pPr>
    </w:p>
    <w:p w14:paraId="1C812CB9" w14:textId="77777777" w:rsidR="00B87827" w:rsidRDefault="00B87827" w:rsidP="00B6038E">
      <w:pPr>
        <w:jc w:val="both"/>
        <w:rPr>
          <w:b/>
          <w:bCs/>
        </w:rPr>
      </w:pPr>
    </w:p>
    <w:p w14:paraId="103AFFE8" w14:textId="77777777" w:rsidR="00B87827" w:rsidRDefault="00B87827" w:rsidP="00B6038E">
      <w:pPr>
        <w:jc w:val="both"/>
        <w:rPr>
          <w:b/>
          <w:bCs/>
        </w:rPr>
      </w:pPr>
    </w:p>
    <w:p w14:paraId="011D12A8" w14:textId="229D866E" w:rsidR="002D2D45" w:rsidRDefault="00954F62" w:rsidP="00B6038E">
      <w:pPr>
        <w:jc w:val="both"/>
      </w:pPr>
      <w:r w:rsidRPr="002D2D45">
        <w:rPr>
          <w:b/>
          <w:bCs/>
        </w:rPr>
        <w:lastRenderedPageBreak/>
        <w:t xml:space="preserve">Policy HOU19 </w:t>
      </w:r>
      <w:r w:rsidR="00CE7A34" w:rsidRPr="002D2D45">
        <w:rPr>
          <w:b/>
          <w:bCs/>
        </w:rPr>
        <w:t>‘</w:t>
      </w:r>
      <w:r w:rsidRPr="002D2D45">
        <w:rPr>
          <w:b/>
          <w:bCs/>
        </w:rPr>
        <w:t>Little Barford New Settlement</w:t>
      </w:r>
      <w:r w:rsidR="009D19FA" w:rsidRPr="002D2D45">
        <w:rPr>
          <w:b/>
          <w:bCs/>
        </w:rPr>
        <w:t>’</w:t>
      </w:r>
      <w:r w:rsidR="00CE7A34">
        <w:t xml:space="preserve"> </w:t>
      </w:r>
    </w:p>
    <w:p w14:paraId="6DF67682" w14:textId="078ABF25" w:rsidR="00954F62" w:rsidRDefault="002D2D45" w:rsidP="00B6038E">
      <w:pPr>
        <w:jc w:val="both"/>
      </w:pPr>
      <w:r>
        <w:t xml:space="preserve">The policy </w:t>
      </w:r>
      <w:r w:rsidR="00CE7A34">
        <w:t xml:space="preserve">states: </w:t>
      </w:r>
    </w:p>
    <w:p w14:paraId="6DD9FB87" w14:textId="383CF456" w:rsidR="00CE7A34" w:rsidRPr="007C45E0" w:rsidRDefault="00CE7A34" w:rsidP="00B6038E">
      <w:pPr>
        <w:jc w:val="both"/>
        <w:rPr>
          <w:i/>
          <w:iCs/>
        </w:rPr>
      </w:pPr>
      <w:r w:rsidRPr="007C45E0">
        <w:rPr>
          <w:i/>
          <w:iCs/>
        </w:rPr>
        <w:t xml:space="preserve">“… land at Little Barford is allocated as a new settlement to create a landscape led beautiful, </w:t>
      </w:r>
      <w:proofErr w:type="gramStart"/>
      <w:r w:rsidRPr="007C45E0">
        <w:rPr>
          <w:i/>
          <w:iCs/>
        </w:rPr>
        <w:t>healthy</w:t>
      </w:r>
      <w:proofErr w:type="gramEnd"/>
      <w:r w:rsidRPr="007C45E0">
        <w:rPr>
          <w:i/>
          <w:iCs/>
        </w:rPr>
        <w:t xml:space="preserve"> and sociable community located in close proximity to the proposal for a new station on the East West Rail line delivering at least 4,000 new homes and in the region of 4 hectares employment.”</w:t>
      </w:r>
    </w:p>
    <w:p w14:paraId="6A6A4056" w14:textId="0C4E6A5A" w:rsidR="000978C4" w:rsidRDefault="00EB04D1" w:rsidP="00B6038E">
      <w:pPr>
        <w:jc w:val="both"/>
      </w:pPr>
      <w:r>
        <w:t>T</w:t>
      </w:r>
      <w:r w:rsidR="00CE5A14">
        <w:t>he policy is not capable of being implemented i</w:t>
      </w:r>
      <w:r w:rsidR="00964B53">
        <w:t xml:space="preserve">f this line is not delivered. </w:t>
      </w:r>
      <w:r w:rsidR="00731809">
        <w:t xml:space="preserve"> </w:t>
      </w:r>
      <w:r w:rsidR="00CE5A14">
        <w:t>In particular, L</w:t>
      </w:r>
      <w:r w:rsidR="006D115C">
        <w:t xml:space="preserve">imb xix would be impossible to meet should the </w:t>
      </w:r>
      <w:r w:rsidR="0091775A">
        <w:t xml:space="preserve">route or new station </w:t>
      </w:r>
      <w:r w:rsidR="006D115C">
        <w:t xml:space="preserve">not </w:t>
      </w:r>
      <w:r w:rsidR="0091775A">
        <w:t>materialise</w:t>
      </w:r>
      <w:r w:rsidR="006D115C">
        <w:t xml:space="preserve">. </w:t>
      </w:r>
      <w:r w:rsidR="00E63AC6">
        <w:t xml:space="preserve"> </w:t>
      </w:r>
    </w:p>
    <w:p w14:paraId="62D781ED" w14:textId="419AA545" w:rsidR="008A2081" w:rsidRDefault="00E63AC6" w:rsidP="00B6038E">
      <w:pPr>
        <w:jc w:val="both"/>
      </w:pPr>
      <w:r>
        <w:t xml:space="preserve">The </w:t>
      </w:r>
      <w:r w:rsidR="000978C4">
        <w:t xml:space="preserve">justification for this </w:t>
      </w:r>
      <w:r>
        <w:t>policy is</w:t>
      </w:r>
      <w:r w:rsidR="000978C4">
        <w:t xml:space="preserve"> wholly</w:t>
      </w:r>
      <w:r>
        <w:t xml:space="preserve"> reliant on the EWR </w:t>
      </w:r>
      <w:r w:rsidR="00594C24">
        <w:t>scheme but</w:t>
      </w:r>
      <w:r>
        <w:t xml:space="preserve"> does not include any safeguarded route based on the latest information. </w:t>
      </w:r>
      <w:r w:rsidR="00A36BF9">
        <w:t xml:space="preserve"> </w:t>
      </w:r>
      <w:r>
        <w:t xml:space="preserve">The Preferred </w:t>
      </w:r>
      <w:r w:rsidR="00BA14F8">
        <w:t>R</w:t>
      </w:r>
      <w:r>
        <w:t>oute</w:t>
      </w:r>
      <w:r w:rsidR="00BA14F8">
        <w:t xml:space="preserve"> Corridor </w:t>
      </w:r>
      <w:r>
        <w:t>E option should at the very least be referenced in the Draft Plan and the land safeguarded if it is to be advanced</w:t>
      </w:r>
      <w:r w:rsidR="00F67A87">
        <w:t>/adopted</w:t>
      </w:r>
      <w:r>
        <w:t xml:space="preserve"> before the EWR scheme has progressed to a detailed stage.  The extent of </w:t>
      </w:r>
      <w:r w:rsidR="000036D2">
        <w:t xml:space="preserve">the search area within </w:t>
      </w:r>
      <w:r>
        <w:t xml:space="preserve">Route </w:t>
      </w:r>
      <w:r w:rsidR="0034137C">
        <w:t xml:space="preserve">Corridor </w:t>
      </w:r>
      <w:r>
        <w:t xml:space="preserve">E is </w:t>
      </w:r>
      <w:r w:rsidR="00EB04D1">
        <w:t>not acknowledged</w:t>
      </w:r>
      <w:r w:rsidR="000036D2">
        <w:t xml:space="preserve"> (it includes the entire site)</w:t>
      </w:r>
      <w:r>
        <w:t>.</w:t>
      </w:r>
      <w:r w:rsidR="00A36BF9">
        <w:t xml:space="preserve">  </w:t>
      </w:r>
      <w:r w:rsidR="00F2362B">
        <w:t>Within this</w:t>
      </w:r>
      <w:r w:rsidR="00EB04D1">
        <w:t xml:space="preserve"> corridor</w:t>
      </w:r>
      <w:r w:rsidR="00F2362B">
        <w:t xml:space="preserve">, the latest non-statutory consultation held in June 2021 </w:t>
      </w:r>
      <w:r w:rsidR="00CB5E2B">
        <w:t xml:space="preserve">identified five potential route alignments and 4 potential station locations which have an impact upon the </w:t>
      </w:r>
      <w:r w:rsidR="0007792F">
        <w:t xml:space="preserve">future </w:t>
      </w:r>
      <w:proofErr w:type="spellStart"/>
      <w:r w:rsidR="0007792F">
        <w:t>masterplanning</w:t>
      </w:r>
      <w:proofErr w:type="spellEnd"/>
      <w:r w:rsidR="0007792F">
        <w:t xml:space="preserve"> of HOU19.  The proposed trajectory is not </w:t>
      </w:r>
      <w:r w:rsidR="002E7219">
        <w:t>reliable,</w:t>
      </w:r>
      <w:r w:rsidR="0007792F">
        <w:t xml:space="preserve"> and</w:t>
      </w:r>
      <w:r w:rsidR="00A777FD">
        <w:t xml:space="preserve"> it is difficult to see how any masterplan framework could be approved before the EWR scheme has proceeded to/through its DCO process which is several years away.  </w:t>
      </w:r>
    </w:p>
    <w:p w14:paraId="20B5CE45" w14:textId="46C68304" w:rsidR="000E44AA" w:rsidRDefault="00A36BF9" w:rsidP="00B6038E">
      <w:pPr>
        <w:jc w:val="both"/>
      </w:pPr>
      <w:r>
        <w:t xml:space="preserve">It demonstrates the fact that it is not possible to </w:t>
      </w:r>
      <w:r w:rsidR="008A2081">
        <w:t xml:space="preserve">evidence that </w:t>
      </w:r>
      <w:r w:rsidR="00E137FC">
        <w:t xml:space="preserve">the proposed </w:t>
      </w:r>
      <w:r>
        <w:t xml:space="preserve">quantum of development </w:t>
      </w:r>
      <w:r w:rsidR="00E137FC">
        <w:t xml:space="preserve">can be achieved within the allocation boundary </w:t>
      </w:r>
      <w:r w:rsidR="000E44AA">
        <w:t xml:space="preserve">or delivered within the plan period. </w:t>
      </w:r>
    </w:p>
    <w:p w14:paraId="1127504C" w14:textId="79E6A787" w:rsidR="009D19FA" w:rsidRDefault="0034137C" w:rsidP="00B6038E">
      <w:pPr>
        <w:jc w:val="both"/>
      </w:pPr>
      <w:r w:rsidRPr="0034137C">
        <w:rPr>
          <w:noProof/>
        </w:rPr>
        <w:drawing>
          <wp:inline distT="0" distB="0" distL="0" distR="0" wp14:anchorId="6EC90BF7" wp14:editId="74596BFC">
            <wp:extent cx="4585280" cy="42672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8443" cy="4270144"/>
                    </a:xfrm>
                    <a:prstGeom prst="rect">
                      <a:avLst/>
                    </a:prstGeom>
                    <a:noFill/>
                    <a:ln>
                      <a:noFill/>
                    </a:ln>
                  </pic:spPr>
                </pic:pic>
              </a:graphicData>
            </a:graphic>
          </wp:inline>
        </w:drawing>
      </w:r>
    </w:p>
    <w:p w14:paraId="364AEDBF" w14:textId="12298691" w:rsidR="0088496F" w:rsidRPr="0088496F" w:rsidRDefault="0088496F" w:rsidP="00B6038E">
      <w:pPr>
        <w:jc w:val="both"/>
        <w:rPr>
          <w:i/>
          <w:iCs/>
        </w:rPr>
      </w:pPr>
      <w:r w:rsidRPr="0088496F">
        <w:rPr>
          <w:i/>
          <w:iCs/>
        </w:rPr>
        <w:t>Source: EWR June 2021 Consultation</w:t>
      </w:r>
    </w:p>
    <w:p w14:paraId="147FBD26" w14:textId="3011DBD3" w:rsidR="000C1986" w:rsidRDefault="008D602D" w:rsidP="00B6038E">
      <w:pPr>
        <w:jc w:val="both"/>
      </w:pPr>
      <w:r>
        <w:lastRenderedPageBreak/>
        <w:t xml:space="preserve">Whilst </w:t>
      </w:r>
      <w:r w:rsidR="00594C24">
        <w:t xml:space="preserve">a </w:t>
      </w:r>
      <w:r>
        <w:t>non-statutory</w:t>
      </w:r>
      <w:r w:rsidR="00594C24">
        <w:t xml:space="preserve"> consultation</w:t>
      </w:r>
      <w:r>
        <w:t xml:space="preserve">, EWR did consult on two </w:t>
      </w:r>
      <w:r w:rsidR="0034137C">
        <w:t xml:space="preserve">Preferred Route </w:t>
      </w:r>
      <w:r w:rsidR="000E44AA">
        <w:t>Alignments</w:t>
      </w:r>
      <w:r w:rsidR="0034137C">
        <w:t xml:space="preserve"> 1 and 9 </w:t>
      </w:r>
      <w:r>
        <w:t xml:space="preserve">which </w:t>
      </w:r>
      <w:r w:rsidR="0034137C">
        <w:t>are reproduced below. Both would have different, but significant impacts upon the land available for development</w:t>
      </w:r>
      <w:r>
        <w:t xml:space="preserve">, general </w:t>
      </w:r>
      <w:proofErr w:type="gramStart"/>
      <w:r>
        <w:t>connectivity</w:t>
      </w:r>
      <w:proofErr w:type="gramEnd"/>
      <w:r>
        <w:t xml:space="preserve"> and the ability to deliver </w:t>
      </w:r>
      <w:r w:rsidR="00CA2615">
        <w:t>multiple road crossings over/under the existing east coast mainline track</w:t>
      </w:r>
      <w:r w:rsidR="00B13D67">
        <w:t xml:space="preserve"> and any proposed EWR track</w:t>
      </w:r>
      <w:r w:rsidR="000913D2">
        <w:t xml:space="preserve"> to create internal connections within the proposed allocation</w:t>
      </w:r>
      <w:r w:rsidR="00B13D67">
        <w:t xml:space="preserve"> to </w:t>
      </w:r>
      <w:r w:rsidR="008C36CF">
        <w:t>create an integrated new community</w:t>
      </w:r>
      <w:r w:rsidR="0034137C">
        <w:t xml:space="preserve">.  </w:t>
      </w:r>
    </w:p>
    <w:p w14:paraId="07E0DFA4" w14:textId="05D6F2BE" w:rsidR="0034137C" w:rsidRDefault="0034137C" w:rsidP="00B6038E">
      <w:pPr>
        <w:jc w:val="both"/>
      </w:pPr>
      <w:r w:rsidRPr="0034137C">
        <w:rPr>
          <w:noProof/>
        </w:rPr>
        <w:drawing>
          <wp:inline distT="0" distB="0" distL="0" distR="0" wp14:anchorId="07529D77" wp14:editId="5410E0DB">
            <wp:extent cx="4455160" cy="3506066"/>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58126" cy="3508400"/>
                    </a:xfrm>
                    <a:prstGeom prst="rect">
                      <a:avLst/>
                    </a:prstGeom>
                    <a:noFill/>
                    <a:ln>
                      <a:noFill/>
                    </a:ln>
                  </pic:spPr>
                </pic:pic>
              </a:graphicData>
            </a:graphic>
          </wp:inline>
        </w:drawing>
      </w:r>
    </w:p>
    <w:p w14:paraId="7F42092C" w14:textId="3B11F6B0" w:rsidR="008D602D" w:rsidRDefault="008D602D" w:rsidP="00B6038E">
      <w:pPr>
        <w:jc w:val="both"/>
      </w:pPr>
      <w:r w:rsidRPr="0034137C">
        <w:rPr>
          <w:noProof/>
        </w:rPr>
        <w:drawing>
          <wp:inline distT="0" distB="0" distL="0" distR="0" wp14:anchorId="3B319E5F" wp14:editId="79957395">
            <wp:extent cx="4455571" cy="306705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56945" cy="3067996"/>
                    </a:xfrm>
                    <a:prstGeom prst="rect">
                      <a:avLst/>
                    </a:prstGeom>
                    <a:noFill/>
                    <a:ln>
                      <a:noFill/>
                    </a:ln>
                  </pic:spPr>
                </pic:pic>
              </a:graphicData>
            </a:graphic>
          </wp:inline>
        </w:drawing>
      </w:r>
    </w:p>
    <w:p w14:paraId="277D71FE" w14:textId="6D997E60" w:rsidR="0088496F" w:rsidRPr="0088496F" w:rsidRDefault="0088496F" w:rsidP="00B6038E">
      <w:pPr>
        <w:jc w:val="both"/>
        <w:rPr>
          <w:i/>
          <w:iCs/>
        </w:rPr>
      </w:pPr>
      <w:r w:rsidRPr="0088496F">
        <w:rPr>
          <w:i/>
          <w:iCs/>
        </w:rPr>
        <w:t>Source: EWR June 2021 Consultation</w:t>
      </w:r>
    </w:p>
    <w:p w14:paraId="194F451C" w14:textId="77777777" w:rsidR="0088496F" w:rsidRDefault="0088496F" w:rsidP="00B6038E">
      <w:pPr>
        <w:jc w:val="both"/>
      </w:pPr>
    </w:p>
    <w:p w14:paraId="06934ADA" w14:textId="13C1045A" w:rsidR="0034137C" w:rsidRDefault="00594C24" w:rsidP="0034137C">
      <w:pPr>
        <w:jc w:val="both"/>
      </w:pPr>
      <w:r>
        <w:lastRenderedPageBreak/>
        <w:t xml:space="preserve">These </w:t>
      </w:r>
      <w:r w:rsidR="0088496F">
        <w:t xml:space="preserve">extracts </w:t>
      </w:r>
      <w:r>
        <w:t>highlight</w:t>
      </w:r>
      <w:r w:rsidR="00E66EF5">
        <w:t xml:space="preserve"> that th</w:t>
      </w:r>
      <w:r w:rsidR="0034137C">
        <w:t xml:space="preserve">e section affecting the proposed allocation HOU19 is not yet crystallised and is dependent upon the selection of one of the potential preferred options of one of the two St Neots South station locations (St Neots Option A) over one of the long standing </w:t>
      </w:r>
      <w:proofErr w:type="spellStart"/>
      <w:r w:rsidR="0034137C">
        <w:t>Tempsford</w:t>
      </w:r>
      <w:proofErr w:type="spellEnd"/>
      <w:r w:rsidR="0034137C">
        <w:t xml:space="preserve"> options further south (</w:t>
      </w:r>
      <w:proofErr w:type="spellStart"/>
      <w:r w:rsidR="0034137C">
        <w:t>Tempsford</w:t>
      </w:r>
      <w:proofErr w:type="spellEnd"/>
      <w:r w:rsidR="0034137C">
        <w:t xml:space="preserve"> Option A). The final strategy or any other option/alignment that may need to be considered is subject to further investigation, </w:t>
      </w:r>
      <w:proofErr w:type="gramStart"/>
      <w:r w:rsidR="0034137C">
        <w:t>surveys</w:t>
      </w:r>
      <w:proofErr w:type="gramEnd"/>
      <w:r w:rsidR="0034137C">
        <w:t xml:space="preserve"> and consultation before the detailed DCO application can be made.</w:t>
      </w:r>
    </w:p>
    <w:p w14:paraId="5BAB4F35" w14:textId="293E30D4" w:rsidR="0034137C" w:rsidRDefault="0034137C" w:rsidP="0034137C">
      <w:pPr>
        <w:jc w:val="both"/>
      </w:pPr>
      <w:r>
        <w:t xml:space="preserve">The future route alignment </w:t>
      </w:r>
      <w:r w:rsidR="00E66EF5">
        <w:t xml:space="preserve">around St Neots </w:t>
      </w:r>
      <w:r>
        <w:t xml:space="preserve">is also heavily dependent upon the location of the proposed new Cambourne rail station further </w:t>
      </w:r>
      <w:r w:rsidR="00127778">
        <w:t>northeast</w:t>
      </w:r>
      <w:r>
        <w:t xml:space="preserve"> within South Cambridgeshire District.  Again, the link between either of the two St Neots based options versus the two Cambourne based options further east (Cambourne North or Cambourne west) directly affect the position of any rail line across the </w:t>
      </w:r>
      <w:r w:rsidR="00BC5583">
        <w:t>proposed allocation</w:t>
      </w:r>
      <w:r>
        <w:t>.</w:t>
      </w:r>
    </w:p>
    <w:p w14:paraId="560A7F11" w14:textId="7AC0B9AD" w:rsidR="0034137C" w:rsidRDefault="0034137C" w:rsidP="0034137C">
      <w:pPr>
        <w:jc w:val="both"/>
      </w:pPr>
      <w:r>
        <w:t xml:space="preserve">As the output of the second non-statutory consultation is currently under review, EWR is not yet able to confirm the date for the announcement of the </w:t>
      </w:r>
      <w:r w:rsidR="00127778">
        <w:t xml:space="preserve">final </w:t>
      </w:r>
      <w:r>
        <w:t>route</w:t>
      </w:r>
      <w:r w:rsidR="00127778">
        <w:t xml:space="preserve"> or</w:t>
      </w:r>
      <w:r w:rsidR="003548A3">
        <w:t xml:space="preserve"> future programme</w:t>
      </w:r>
      <w:r>
        <w:t xml:space="preserve">. </w:t>
      </w:r>
      <w:r w:rsidR="003548A3">
        <w:t xml:space="preserve"> </w:t>
      </w:r>
      <w:r w:rsidR="00BC5583">
        <w:t xml:space="preserve">The </w:t>
      </w:r>
      <w:r w:rsidR="003548A3">
        <w:t xml:space="preserve">project </w:t>
      </w:r>
      <w:r w:rsidR="00BC5583">
        <w:t xml:space="preserve">timetable has </w:t>
      </w:r>
      <w:r w:rsidR="008C36CF">
        <w:t xml:space="preserve">already </w:t>
      </w:r>
      <w:r w:rsidR="00BC5583">
        <w:t xml:space="preserve">slipped considerably. </w:t>
      </w:r>
    </w:p>
    <w:p w14:paraId="6B839470" w14:textId="63D5A773" w:rsidR="00BC5583" w:rsidRDefault="0034137C" w:rsidP="0034137C">
      <w:pPr>
        <w:jc w:val="both"/>
      </w:pPr>
      <w:r>
        <w:t xml:space="preserve">The above diagrams illustrate the dramatic impact that all of the current route options may have upon future development </w:t>
      </w:r>
      <w:r w:rsidR="00BC5583">
        <w:t xml:space="preserve">considerations </w:t>
      </w:r>
      <w:r w:rsidR="003548A3">
        <w:t>around Little Barford</w:t>
      </w:r>
      <w:r w:rsidR="00BC5583">
        <w:t xml:space="preserve">. </w:t>
      </w:r>
      <w:r>
        <w:t xml:space="preserve"> Based on the current programme for the replacement BLP, </w:t>
      </w:r>
      <w:r w:rsidR="00946B64">
        <w:t xml:space="preserve">and the </w:t>
      </w:r>
      <w:r w:rsidR="003548A3">
        <w:t xml:space="preserve">Council’s stated </w:t>
      </w:r>
      <w:r w:rsidR="00946B64">
        <w:t xml:space="preserve">urgency to submit a plan by January 2023, </w:t>
      </w:r>
      <w:r>
        <w:t>a future review of the emerging BBC local plan (</w:t>
      </w:r>
      <w:proofErr w:type="gramStart"/>
      <w:r>
        <w:t>i.e.</w:t>
      </w:r>
      <w:proofErr w:type="gramEnd"/>
      <w:r>
        <w:t xml:space="preserve"> beyond 2040) may be a more realistic timeframe </w:t>
      </w:r>
      <w:r w:rsidR="00BC5583">
        <w:t xml:space="preserve">for considering </w:t>
      </w:r>
      <w:r w:rsidR="00946B64">
        <w:t xml:space="preserve">rail based </w:t>
      </w:r>
      <w:r w:rsidR="00BC5583">
        <w:t>growth in this location</w:t>
      </w:r>
      <w:r w:rsidR="00651E27">
        <w:t xml:space="preserve"> – i.e. once the parameters are confirmed.</w:t>
      </w:r>
    </w:p>
    <w:p w14:paraId="6DC22622" w14:textId="77777777" w:rsidR="00946B64" w:rsidRDefault="00946B64" w:rsidP="00B6038E">
      <w:pPr>
        <w:jc w:val="both"/>
        <w:rPr>
          <w:b/>
          <w:bCs/>
        </w:rPr>
      </w:pPr>
    </w:p>
    <w:p w14:paraId="5E0C6E6E" w14:textId="2EE3A1C7" w:rsidR="008C36CF" w:rsidRPr="002D2D45" w:rsidRDefault="0009436C" w:rsidP="00B6038E">
      <w:pPr>
        <w:jc w:val="both"/>
        <w:rPr>
          <w:b/>
          <w:bCs/>
        </w:rPr>
      </w:pPr>
      <w:r w:rsidRPr="002D2D45">
        <w:rPr>
          <w:b/>
          <w:bCs/>
        </w:rPr>
        <w:t>A428 Black Cat to Caxton Gibbet Improvement Scheme</w:t>
      </w:r>
      <w:r w:rsidR="008C36CF" w:rsidRPr="002D2D45">
        <w:rPr>
          <w:b/>
          <w:bCs/>
        </w:rPr>
        <w:t xml:space="preserve"> </w:t>
      </w:r>
    </w:p>
    <w:p w14:paraId="009C6091" w14:textId="77777777" w:rsidR="003A5EDF" w:rsidRDefault="003A5EDF" w:rsidP="00B6038E">
      <w:pPr>
        <w:jc w:val="both"/>
      </w:pPr>
      <w:r w:rsidRPr="003A5EDF">
        <w:t xml:space="preserve">In relation to the A428 improvements, these are still at Inquiry, with a decision expected in August from the Secretary of State, which should be available at the examination of this Local Plan, providing more certainty in the delivery of this scheme.  At the recent examination it was suggested that delivery of the scheme is currently approximately one year late due to the pandemic etc and as such it is likely to open in 2025/2026.  </w:t>
      </w:r>
    </w:p>
    <w:p w14:paraId="3221A75D" w14:textId="77777777" w:rsidR="00FE0AD5" w:rsidRDefault="0009436C" w:rsidP="00B6038E">
      <w:pPr>
        <w:jc w:val="both"/>
      </w:pPr>
      <w:r>
        <w:t xml:space="preserve">The plan in general, and </w:t>
      </w:r>
      <w:r w:rsidR="00657718">
        <w:t xml:space="preserve">Policy HOU19 </w:t>
      </w:r>
      <w:r w:rsidR="00E63AC6">
        <w:t xml:space="preserve">does not reflect the </w:t>
      </w:r>
      <w:r w:rsidR="000C1986" w:rsidRPr="000C1986">
        <w:t>A428 Black Cat to Caxton Gibbet Improvement scheme</w:t>
      </w:r>
      <w:r w:rsidR="003A5EDF">
        <w:t xml:space="preserve">. </w:t>
      </w:r>
      <w:r w:rsidR="00E63AC6">
        <w:t>The eastern boundary of the proposed allocation</w:t>
      </w:r>
      <w:r w:rsidR="00657718">
        <w:t xml:space="preserve"> HOU19</w:t>
      </w:r>
      <w:r w:rsidR="00E63AC6">
        <w:t xml:space="preserve"> should be shown as the safeguarded route and impacts considered on the extent of </w:t>
      </w:r>
      <w:r w:rsidR="000C1986">
        <w:t>land</w:t>
      </w:r>
      <w:r w:rsidR="00E63AC6">
        <w:t xml:space="preserve"> available for development.</w:t>
      </w:r>
      <w:r w:rsidR="000C1986">
        <w:t xml:space="preserve">  The section that lies within the proposed allocation is reproduced below</w:t>
      </w:r>
      <w:r w:rsidR="00657718">
        <w:t xml:space="preserve"> for ease</w:t>
      </w:r>
      <w:r w:rsidR="000C1986">
        <w:t xml:space="preserve">.  </w:t>
      </w:r>
    </w:p>
    <w:p w14:paraId="1BEACD80" w14:textId="4445502D" w:rsidR="002B40AE" w:rsidRDefault="002B40AE" w:rsidP="00B6038E">
      <w:pPr>
        <w:jc w:val="both"/>
      </w:pPr>
      <w:r>
        <w:rPr>
          <w:noProof/>
        </w:rPr>
        <w:drawing>
          <wp:inline distT="0" distB="0" distL="0" distR="0" wp14:anchorId="0CD45BC8" wp14:editId="6302DAD3">
            <wp:extent cx="3400032" cy="27908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01256" cy="2791830"/>
                    </a:xfrm>
                    <a:prstGeom prst="rect">
                      <a:avLst/>
                    </a:prstGeom>
                  </pic:spPr>
                </pic:pic>
              </a:graphicData>
            </a:graphic>
          </wp:inline>
        </w:drawing>
      </w:r>
    </w:p>
    <w:p w14:paraId="32AB5846" w14:textId="785AA743" w:rsidR="00E63AC6" w:rsidRDefault="00307B54" w:rsidP="00B6038E">
      <w:pPr>
        <w:jc w:val="both"/>
      </w:pPr>
      <w:r>
        <w:lastRenderedPageBreak/>
        <w:t xml:space="preserve">Should the DCO be approved (decision due by 18 August 2022) this includes Compulsory Purchase Powers to permanently take land for the scheme along with temporary land take for a given period of time. It </w:t>
      </w:r>
      <w:r w:rsidR="001C2B67">
        <w:t xml:space="preserve">further demonstrates that it is unlikely that </w:t>
      </w:r>
      <w:r>
        <w:t xml:space="preserve">all of the proposed allocation is </w:t>
      </w:r>
      <w:r w:rsidR="00BB585A">
        <w:t>available,</w:t>
      </w:r>
      <w:r>
        <w:t xml:space="preserve"> </w:t>
      </w:r>
      <w:r w:rsidR="00AB3665">
        <w:t xml:space="preserve">or deliverable and this land should be </w:t>
      </w:r>
      <w:proofErr w:type="gramStart"/>
      <w:r w:rsidR="00AB3665">
        <w:t>excluded</w:t>
      </w:r>
      <w:proofErr w:type="gramEnd"/>
      <w:r w:rsidR="00AB3665">
        <w:t xml:space="preserve"> and the scale of development adjusted accordingly.</w:t>
      </w:r>
      <w:r>
        <w:t xml:space="preserve">   </w:t>
      </w:r>
      <w:r w:rsidR="000C1986">
        <w:t xml:space="preserve">We consider the </w:t>
      </w:r>
      <w:r w:rsidR="00AC6FE9">
        <w:t>any part of the route that falls within Bedford Borough boundary i</w:t>
      </w:r>
      <w:r w:rsidR="000C1986">
        <w:t>s shown as safeguarded within the policy map, potentially supported by a specific policy.</w:t>
      </w:r>
    </w:p>
    <w:p w14:paraId="6C44F9CC" w14:textId="135F8177" w:rsidR="007A2458" w:rsidRDefault="007308DA" w:rsidP="00B6038E">
      <w:pPr>
        <w:jc w:val="both"/>
      </w:pPr>
      <w:r>
        <w:t xml:space="preserve">It is also of relevance that the </w:t>
      </w:r>
      <w:r w:rsidR="00334FD7">
        <w:t xml:space="preserve">A428 scheme will not include a </w:t>
      </w:r>
      <w:r w:rsidR="00ED12D6">
        <w:t xml:space="preserve">road link </w:t>
      </w:r>
      <w:r w:rsidR="00334FD7">
        <w:t xml:space="preserve">connection onto the Barford Road </w:t>
      </w:r>
      <w:r w:rsidR="00ED12D6">
        <w:t>where it crosses</w:t>
      </w:r>
      <w:r w:rsidR="00B07D8B">
        <w:t xml:space="preserve"> – DCO extract below.</w:t>
      </w:r>
      <w:r w:rsidR="00ED12D6">
        <w:t xml:space="preserve">  </w:t>
      </w:r>
    </w:p>
    <w:p w14:paraId="26C357BE" w14:textId="7343D9CD" w:rsidR="007A2458" w:rsidRDefault="00B07D8B" w:rsidP="00B6038E">
      <w:pPr>
        <w:jc w:val="both"/>
      </w:pPr>
      <w:r>
        <w:rPr>
          <w:noProof/>
        </w:rPr>
        <w:drawing>
          <wp:inline distT="0" distB="0" distL="0" distR="0" wp14:anchorId="0D078F7A" wp14:editId="7617F47D">
            <wp:extent cx="4733925" cy="3419475"/>
            <wp:effectExtent l="0" t="0" r="9525" b="9525"/>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18"/>
                    <a:stretch>
                      <a:fillRect/>
                    </a:stretch>
                  </pic:blipFill>
                  <pic:spPr>
                    <a:xfrm>
                      <a:off x="0" y="0"/>
                      <a:ext cx="4733925" cy="3419475"/>
                    </a:xfrm>
                    <a:prstGeom prst="rect">
                      <a:avLst/>
                    </a:prstGeom>
                  </pic:spPr>
                </pic:pic>
              </a:graphicData>
            </a:graphic>
          </wp:inline>
        </w:drawing>
      </w:r>
    </w:p>
    <w:p w14:paraId="34503218" w14:textId="5D44CF24" w:rsidR="00F31125" w:rsidRDefault="00ED12D6" w:rsidP="00B6038E">
      <w:pPr>
        <w:jc w:val="both"/>
      </w:pPr>
      <w:r>
        <w:t xml:space="preserve">There is no opportunity for a direct connection </w:t>
      </w:r>
      <w:r w:rsidR="007E49EA">
        <w:t xml:space="preserve">onto the new </w:t>
      </w:r>
      <w:r w:rsidR="00004EF4">
        <w:t xml:space="preserve">A428 carriageway </w:t>
      </w:r>
      <w:r w:rsidR="007E49EA">
        <w:t xml:space="preserve">for vehicular movements from </w:t>
      </w:r>
      <w:r w:rsidR="006A542D">
        <w:t xml:space="preserve">either the eastern or </w:t>
      </w:r>
      <w:r w:rsidR="00B4770C">
        <w:t xml:space="preserve">western </w:t>
      </w:r>
      <w:r w:rsidR="007E49EA">
        <w:t>half of the development</w:t>
      </w:r>
      <w:r w:rsidR="0002525F">
        <w:t xml:space="preserve"> which would all need to link back to the existing A428</w:t>
      </w:r>
      <w:r w:rsidR="00090F82">
        <w:t xml:space="preserve">, adding a significant amount onto the local </w:t>
      </w:r>
      <w:r w:rsidR="006B1984">
        <w:t xml:space="preserve">rural </w:t>
      </w:r>
      <w:r w:rsidR="00090F82">
        <w:t>road network.</w:t>
      </w:r>
      <w:r w:rsidR="006A542D">
        <w:t xml:space="preserve">  This constraint is illustrated by reference to Figure </w:t>
      </w:r>
      <w:r w:rsidR="00F31125">
        <w:t xml:space="preserve">2.3 – Assumed Little Barford Development Highway Network within the </w:t>
      </w:r>
      <w:proofErr w:type="spellStart"/>
      <w:r w:rsidR="00F31125">
        <w:t>Aecom</w:t>
      </w:r>
      <w:proofErr w:type="spellEnd"/>
      <w:r w:rsidR="00F31125">
        <w:t xml:space="preserve"> Bedford Borough Transport Model – reproduced for ease below.</w:t>
      </w:r>
      <w:r w:rsidR="00E61362">
        <w:t xml:space="preserve">  </w:t>
      </w:r>
    </w:p>
    <w:p w14:paraId="2F0CA0C5" w14:textId="15513CB5" w:rsidR="002D2D45" w:rsidRDefault="007E49EA" w:rsidP="00B6038E">
      <w:pPr>
        <w:jc w:val="both"/>
      </w:pPr>
      <w:r>
        <w:t xml:space="preserve">  </w:t>
      </w:r>
      <w:r w:rsidR="00F31125">
        <w:rPr>
          <w:noProof/>
        </w:rPr>
        <w:drawing>
          <wp:inline distT="0" distB="0" distL="0" distR="0" wp14:anchorId="68929AE2" wp14:editId="4D16A0BE">
            <wp:extent cx="3781425" cy="225917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95639" cy="2267667"/>
                    </a:xfrm>
                    <a:prstGeom prst="rect">
                      <a:avLst/>
                    </a:prstGeom>
                  </pic:spPr>
                </pic:pic>
              </a:graphicData>
            </a:graphic>
          </wp:inline>
        </w:drawing>
      </w:r>
    </w:p>
    <w:p w14:paraId="65886DF2" w14:textId="633B7B47" w:rsidR="00334FD7" w:rsidRDefault="003E769D" w:rsidP="00B6038E">
      <w:pPr>
        <w:jc w:val="both"/>
      </w:pPr>
      <w:r>
        <w:t>Source: Fig 2.3 of the BBTM</w:t>
      </w:r>
      <w:r w:rsidR="002B3A7D">
        <w:t>: New Settlements and the Black Cat Junction</w:t>
      </w:r>
    </w:p>
    <w:p w14:paraId="2305A632" w14:textId="1B6284AE" w:rsidR="00EF380E" w:rsidRPr="00EF380E" w:rsidRDefault="00EF380E" w:rsidP="00B6038E">
      <w:pPr>
        <w:jc w:val="both"/>
      </w:pPr>
      <w:r w:rsidRPr="00EF380E">
        <w:lastRenderedPageBreak/>
        <w:t>Given the allocation is predicated on ‘</w:t>
      </w:r>
      <w:proofErr w:type="gramStart"/>
      <w:r w:rsidRPr="00EF380E">
        <w:t>rail based</w:t>
      </w:r>
      <w:proofErr w:type="gramEnd"/>
      <w:r w:rsidRPr="00EF380E">
        <w:t xml:space="preserve"> growth’ the EWR route options are not indicated. Should the either of the preferred routes mentioned above be taken forward, the impact of the new rail infrastructure on the model assumptions has not been undertaken.   The proposed single rail crossing is a challenge and lacks connectivity and permeability within the new settlement proposal.</w:t>
      </w:r>
    </w:p>
    <w:p w14:paraId="7722F836" w14:textId="77777777" w:rsidR="00EF380E" w:rsidRDefault="00EF380E" w:rsidP="00B6038E">
      <w:pPr>
        <w:jc w:val="both"/>
        <w:rPr>
          <w:b/>
          <w:bCs/>
        </w:rPr>
      </w:pPr>
    </w:p>
    <w:p w14:paraId="0D01ADF6" w14:textId="2AC588EF" w:rsidR="002D2D45" w:rsidRPr="002D2D45" w:rsidRDefault="002D2D45" w:rsidP="00B6038E">
      <w:pPr>
        <w:jc w:val="both"/>
        <w:rPr>
          <w:b/>
          <w:bCs/>
        </w:rPr>
      </w:pPr>
      <w:r w:rsidRPr="002D2D45">
        <w:rPr>
          <w:b/>
          <w:bCs/>
        </w:rPr>
        <w:t>Figure 11: Little Barford New Settlement</w:t>
      </w:r>
    </w:p>
    <w:p w14:paraId="0C1033BD" w14:textId="1B1B9A78" w:rsidR="006F0D14" w:rsidRDefault="006F0D14" w:rsidP="00B6038E">
      <w:pPr>
        <w:jc w:val="both"/>
      </w:pPr>
      <w:r>
        <w:t xml:space="preserve">The Figure 11: Little Barford New Settlement </w:t>
      </w:r>
      <w:r w:rsidR="00E13684">
        <w:t xml:space="preserve">plan is inappropriate and confusing. The Council should replace the developer led plan with its own plan for consistency </w:t>
      </w:r>
      <w:r w:rsidR="005D3A15">
        <w:t xml:space="preserve">with the other </w:t>
      </w:r>
      <w:r w:rsidR="00854A52">
        <w:t xml:space="preserve">proposed allocations (Figures </w:t>
      </w:r>
      <w:r w:rsidR="00390BE0">
        <w:t>6</w:t>
      </w:r>
      <w:r w:rsidR="00854A52">
        <w:t xml:space="preserve">-10) </w:t>
      </w:r>
      <w:r w:rsidR="00E13684">
        <w:t xml:space="preserve">and to remove the elements that are </w:t>
      </w:r>
      <w:r w:rsidR="00573C92">
        <w:t xml:space="preserve">not yet been tested such as the access options across the mainline and </w:t>
      </w:r>
      <w:r w:rsidR="00B2337E">
        <w:t>expressly, the land shown shaded blue that is labelled ‘contingency land’. This</w:t>
      </w:r>
      <w:r w:rsidR="005628DA">
        <w:t xml:space="preserve"> contingency </w:t>
      </w:r>
      <w:r w:rsidR="00B2337E">
        <w:t xml:space="preserve">land is not referenced within the policy text and </w:t>
      </w:r>
      <w:r w:rsidR="005D3A15">
        <w:t>is not part of the proposed allocation defined on the Policies Map.</w:t>
      </w:r>
      <w:r w:rsidR="00EF668F">
        <w:t xml:space="preserve">  It is also land that would be severed by the realigned A428 and </w:t>
      </w:r>
      <w:r w:rsidR="00414045">
        <w:t xml:space="preserve">it has not been subject to any SA process within the current evidence base. </w:t>
      </w:r>
      <w:r w:rsidR="00EF668F">
        <w:t xml:space="preserve"> </w:t>
      </w:r>
    </w:p>
    <w:p w14:paraId="0B8309E5" w14:textId="77777777" w:rsidR="000C1986" w:rsidRDefault="000C1986" w:rsidP="00B6038E">
      <w:pPr>
        <w:jc w:val="both"/>
      </w:pPr>
    </w:p>
    <w:p w14:paraId="2BE926CE" w14:textId="46FBF160" w:rsidR="00D63DA5" w:rsidRPr="005E3CC5" w:rsidRDefault="00D37AAB" w:rsidP="00B6038E">
      <w:pPr>
        <w:jc w:val="both"/>
        <w:rPr>
          <w:b/>
          <w:bCs/>
        </w:rPr>
      </w:pPr>
      <w:r w:rsidRPr="005E3CC5">
        <w:rPr>
          <w:b/>
          <w:bCs/>
        </w:rPr>
        <w:t>Stepped Delivery Topic Paper</w:t>
      </w:r>
    </w:p>
    <w:p w14:paraId="69DB7AE0" w14:textId="630CEBE6" w:rsidR="00694590" w:rsidRDefault="00D37AAB" w:rsidP="00B6038E">
      <w:pPr>
        <w:jc w:val="both"/>
      </w:pPr>
      <w:r>
        <w:t xml:space="preserve">The delivery of the EWR scheme </w:t>
      </w:r>
      <w:r w:rsidR="004012CC">
        <w:t xml:space="preserve">to justify </w:t>
      </w:r>
      <w:r w:rsidR="00BB585A">
        <w:t>rail-based</w:t>
      </w:r>
      <w:r w:rsidR="004012CC">
        <w:t xml:space="preserve"> growth at Little Barford </w:t>
      </w:r>
      <w:r>
        <w:t xml:space="preserve">is so fundamental to the Plan that it has become the main justification for the stepped </w:t>
      </w:r>
      <w:r w:rsidR="00AB1018">
        <w:t>trajectory.  Once again</w:t>
      </w:r>
      <w:r w:rsidR="00457634">
        <w:t>,</w:t>
      </w:r>
      <w:r w:rsidR="00AB1018">
        <w:t xml:space="preserve"> we would argue that this is based on incorrect assumptions and a reassessment is necessary to ensure that this is </w:t>
      </w:r>
      <w:r w:rsidR="001E1AF3">
        <w:t xml:space="preserve">sound. </w:t>
      </w:r>
      <w:r w:rsidR="00457634">
        <w:t xml:space="preserve"> </w:t>
      </w:r>
    </w:p>
    <w:p w14:paraId="06F83F0D" w14:textId="6E1949CA" w:rsidR="00C61FB3" w:rsidRDefault="0076141E" w:rsidP="00B6038E">
      <w:pPr>
        <w:jc w:val="both"/>
      </w:pPr>
      <w:r>
        <w:t>Le</w:t>
      </w:r>
      <w:r w:rsidR="00296457">
        <w:t>aving aside the issue of the increase in annual housing requirement</w:t>
      </w:r>
      <w:r w:rsidR="00EC052C">
        <w:t xml:space="preserve"> as arguably this should be addressed through the allocation of sites through the Local Plan, </w:t>
      </w:r>
      <w:r w:rsidR="00D40221">
        <w:t xml:space="preserve">the main reason for the stepped </w:t>
      </w:r>
      <w:r w:rsidR="00A019E7">
        <w:t>trajectory</w:t>
      </w:r>
      <w:r w:rsidR="00D40221">
        <w:t xml:space="preserve"> is the delivery of the EWR and the A42</w:t>
      </w:r>
      <w:r w:rsidR="00AC6FE9">
        <w:t>1</w:t>
      </w:r>
      <w:r w:rsidR="00D40221">
        <w:t xml:space="preserve"> relief road</w:t>
      </w:r>
      <w:r w:rsidR="00083AAB">
        <w:t xml:space="preserve">. </w:t>
      </w:r>
      <w:r w:rsidR="00EF2AC7">
        <w:t>As such it is suggested that once the relief road is in place and the Local Plan has been adopted, there is</w:t>
      </w:r>
      <w:r w:rsidR="00EF2AC7" w:rsidRPr="00A019E7">
        <w:t xml:space="preserve"> </w:t>
      </w:r>
      <w:r w:rsidR="00EF2AC7" w:rsidRPr="00A019E7">
        <w:rPr>
          <w:u w:val="single"/>
        </w:rPr>
        <w:t>no</w:t>
      </w:r>
      <w:r w:rsidR="00EF2AC7">
        <w:t xml:space="preserve"> reason to delay the delivery of much needed housing </w:t>
      </w:r>
      <w:r w:rsidR="00385FA0">
        <w:t xml:space="preserve">towards the back end of the plan period. </w:t>
      </w:r>
      <w:r w:rsidR="007E642A">
        <w:t>We therefore suggest that from 2025/20</w:t>
      </w:r>
      <w:r w:rsidR="00514857">
        <w:t xml:space="preserve">26 the plan should seek to deliver </w:t>
      </w:r>
      <w:r w:rsidR="00DC4F77">
        <w:t xml:space="preserve">the full housing requirement and that the stepped trajectory is no longer relevant at that time. </w:t>
      </w:r>
    </w:p>
    <w:p w14:paraId="0CD46A95" w14:textId="449884B8" w:rsidR="00D37AAB" w:rsidRDefault="00E972DC" w:rsidP="00B6038E">
      <w:pPr>
        <w:jc w:val="both"/>
      </w:pPr>
      <w:r>
        <w:t xml:space="preserve">This would therefore mean that Policy </w:t>
      </w:r>
      <w:r w:rsidRPr="003507D9">
        <w:rPr>
          <w:b/>
          <w:bCs/>
        </w:rPr>
        <w:t>DS3(S)</w:t>
      </w:r>
      <w:r w:rsidR="00246BA1">
        <w:t xml:space="preserve"> ‘Amount and timing of housing growth’</w:t>
      </w:r>
      <w:r>
        <w:t xml:space="preserve"> would need to be amended to reflect </w:t>
      </w:r>
      <w:r w:rsidR="002E2636">
        <w:t>a revised trajectory</w:t>
      </w:r>
      <w:r w:rsidR="00B81DF2">
        <w:t>. It is proposed that for the first six years of the plan, (which relates to the delivery of the A42</w:t>
      </w:r>
      <w:r w:rsidR="001047D1">
        <w:t>1</w:t>
      </w:r>
      <w:r w:rsidR="00B81DF2">
        <w:t xml:space="preserve"> </w:t>
      </w:r>
      <w:r w:rsidR="00EB1256">
        <w:t>relief</w:t>
      </w:r>
      <w:r w:rsidR="00B81DF2">
        <w:t xml:space="preserve"> road</w:t>
      </w:r>
      <w:r w:rsidR="005C7AB6">
        <w:t>)</w:t>
      </w:r>
      <w:r w:rsidR="00B81DF2">
        <w:t xml:space="preserve"> a lower delivery rate to 970 dwellings per annum is applied, however once the A421 improvements are in place, the delivery rate should be evenly distributed over the remaining years of the Local Plan (i.e. 21,280</w:t>
      </w:r>
      <w:r w:rsidR="005F3D56">
        <w:t xml:space="preserve"> dwellings should be delivered in the remaining 14 years)</w:t>
      </w:r>
      <w:r w:rsidR="00EB1256">
        <w:t xml:space="preserve"> this would equate to </w:t>
      </w:r>
      <w:r w:rsidR="00453F26">
        <w:t>1,520 dwellings per annum for years 2025/26 – 2039/40</w:t>
      </w:r>
      <w:r w:rsidR="00360764">
        <w:t xml:space="preserve">. </w:t>
      </w:r>
    </w:p>
    <w:p w14:paraId="362DBEB2" w14:textId="2EB2DE9C" w:rsidR="00B34385" w:rsidRDefault="00B34385" w:rsidP="00B6038E">
      <w:pPr>
        <w:jc w:val="both"/>
      </w:pPr>
      <w:r>
        <w:t xml:space="preserve">For reasons set out in our representations to the plan, it is not possible to </w:t>
      </w:r>
      <w:r w:rsidR="0035643C">
        <w:t xml:space="preserve">rely upon </w:t>
      </w:r>
      <w:r>
        <w:t xml:space="preserve">EWR </w:t>
      </w:r>
      <w:r w:rsidR="0035643C">
        <w:t>infrastructure to justify an increase in the delivery rates from 2030 onwards</w:t>
      </w:r>
      <w:r w:rsidR="00A0753A">
        <w:t xml:space="preserve"> for Little Barford. There is no justification for </w:t>
      </w:r>
      <w:r w:rsidR="007D14BF">
        <w:t xml:space="preserve">the high delivery assumptions thereafter which culminate in reliance upon 600 homes per </w:t>
      </w:r>
      <w:r w:rsidR="00CD0AB4">
        <w:t xml:space="preserve">annum during the last 3 years of the plan period. There has been no assessment of market absorption </w:t>
      </w:r>
      <w:r w:rsidR="00C446CA">
        <w:t xml:space="preserve">in this specific location, having regard to the </w:t>
      </w:r>
      <w:r w:rsidR="00C33439">
        <w:t xml:space="preserve">overlap with the </w:t>
      </w:r>
      <w:r w:rsidR="00C446CA">
        <w:t xml:space="preserve">Housing </w:t>
      </w:r>
      <w:r w:rsidR="00C33439">
        <w:t>M</w:t>
      </w:r>
      <w:r w:rsidR="00C446CA">
        <w:t>arket Area of St Neots within which it will sit and rely upon for wider serv</w:t>
      </w:r>
      <w:r w:rsidR="001A54D7">
        <w:t xml:space="preserve">ices during its construction and post completion. St Neots is a key focus for growth within </w:t>
      </w:r>
      <w:r w:rsidR="00481113">
        <w:t>Huntingdonshire’s</w:t>
      </w:r>
      <w:r w:rsidR="001A54D7">
        <w:t xml:space="preserve"> current </w:t>
      </w:r>
      <w:r w:rsidR="00481113">
        <w:t>local plan strategy to 2036 and the impact of delivery rates needs to be tested within this wider Housing Market Area context.</w:t>
      </w:r>
      <w:r w:rsidR="0035643C">
        <w:t xml:space="preserve"> </w:t>
      </w:r>
    </w:p>
    <w:p w14:paraId="0BFBFF9E" w14:textId="77777777" w:rsidR="00163F6B" w:rsidRDefault="00163F6B" w:rsidP="00B6038E">
      <w:pPr>
        <w:jc w:val="both"/>
        <w:rPr>
          <w:b/>
          <w:bCs/>
        </w:rPr>
      </w:pPr>
    </w:p>
    <w:p w14:paraId="72DC55AD" w14:textId="77777777" w:rsidR="005E3CC5" w:rsidRDefault="005E3CC5" w:rsidP="00B6038E">
      <w:pPr>
        <w:jc w:val="both"/>
        <w:rPr>
          <w:b/>
          <w:bCs/>
        </w:rPr>
      </w:pPr>
    </w:p>
    <w:p w14:paraId="038B2133" w14:textId="77777777" w:rsidR="005E3CC5" w:rsidRDefault="005E3CC5" w:rsidP="00B6038E">
      <w:pPr>
        <w:jc w:val="both"/>
        <w:rPr>
          <w:b/>
          <w:bCs/>
        </w:rPr>
      </w:pPr>
    </w:p>
    <w:p w14:paraId="2FD2F233" w14:textId="3C546037" w:rsidR="002D0F5B" w:rsidRPr="002D0F5B" w:rsidRDefault="002D0F5B" w:rsidP="00B6038E">
      <w:pPr>
        <w:jc w:val="both"/>
        <w:rPr>
          <w:b/>
          <w:bCs/>
        </w:rPr>
      </w:pPr>
      <w:r w:rsidRPr="002D0F5B">
        <w:rPr>
          <w:b/>
          <w:bCs/>
        </w:rPr>
        <w:lastRenderedPageBreak/>
        <w:t>New Settlements Assessment</w:t>
      </w:r>
    </w:p>
    <w:p w14:paraId="6A56A672" w14:textId="66CAB44B" w:rsidR="002D0F5B" w:rsidRDefault="002D0F5B" w:rsidP="00B6038E">
      <w:pPr>
        <w:jc w:val="both"/>
      </w:pPr>
      <w:r>
        <w:t xml:space="preserve">The </w:t>
      </w:r>
      <w:r w:rsidR="008370DF">
        <w:t xml:space="preserve">document highlights the lack of information for Little Barford New Settlement </w:t>
      </w:r>
      <w:r w:rsidR="004207C2">
        <w:t>and the many references to needing to undertake further work to complete the as</w:t>
      </w:r>
      <w:r w:rsidR="008370DF">
        <w:t xml:space="preserve">sessment. </w:t>
      </w:r>
      <w:r w:rsidR="000913A6">
        <w:t xml:space="preserve">The reliance upon documents provided by the promoters is unhelpful </w:t>
      </w:r>
      <w:r w:rsidR="0025261D">
        <w:t>given</w:t>
      </w:r>
      <w:r w:rsidR="000913A6">
        <w:t xml:space="preserve"> that most were submitted on a confidential basis and have not been made available for public to view in order to understand the </w:t>
      </w:r>
      <w:r w:rsidR="0025261D">
        <w:t xml:space="preserve">issues under consideration.  All documents being relied upon must be placed within the public domain and a further period of consultation undertaken to allow </w:t>
      </w:r>
      <w:r w:rsidR="00103085">
        <w:t>consideration and comment as necessary.</w:t>
      </w:r>
    </w:p>
    <w:p w14:paraId="34C7C139" w14:textId="77777777" w:rsidR="00AA0172" w:rsidRDefault="00AA0172" w:rsidP="00B6038E">
      <w:pPr>
        <w:jc w:val="both"/>
        <w:rPr>
          <w:rFonts w:ascii="Arial" w:hAnsi="Arial" w:cs="Arial"/>
          <w:b/>
          <w:bCs/>
          <w:i/>
          <w:iCs/>
          <w:szCs w:val="20"/>
        </w:rPr>
      </w:pPr>
    </w:p>
    <w:p w14:paraId="3C07E825" w14:textId="0B854BA4" w:rsidR="00301364" w:rsidRPr="00301364" w:rsidRDefault="00301364" w:rsidP="00B6038E">
      <w:pPr>
        <w:jc w:val="both"/>
        <w:rPr>
          <w:b/>
          <w:bCs/>
          <w:i/>
          <w:iCs/>
        </w:rPr>
      </w:pPr>
      <w:r w:rsidRPr="00301364">
        <w:rPr>
          <w:rFonts w:ascii="Arial" w:hAnsi="Arial" w:cs="Arial"/>
          <w:b/>
          <w:bCs/>
          <w:i/>
          <w:iCs/>
          <w:szCs w:val="20"/>
        </w:rPr>
        <w:t xml:space="preserve">6.  Please set out the modification(s) you consider necessary to make the Local Plan legally compliant and sound, in respect of any legal compliance or soundness matters you have identified at 5 above.  </w:t>
      </w:r>
    </w:p>
    <w:p w14:paraId="105AFF00" w14:textId="77777777" w:rsidR="00025179" w:rsidRDefault="009F7190" w:rsidP="00B6038E">
      <w:pPr>
        <w:jc w:val="both"/>
      </w:pPr>
      <w:r>
        <w:t xml:space="preserve">Based on the points raised above, we </w:t>
      </w:r>
      <w:r w:rsidR="007E4533">
        <w:t>c</w:t>
      </w:r>
      <w:r w:rsidR="00025179">
        <w:t>onsider the draft Local Plan is unsound as it is:</w:t>
      </w:r>
    </w:p>
    <w:p w14:paraId="5C3E8588" w14:textId="52D783E7" w:rsidR="00087209" w:rsidRDefault="00025179" w:rsidP="00FC7C3B">
      <w:pPr>
        <w:pStyle w:val="ListParagraph"/>
        <w:numPr>
          <w:ilvl w:val="0"/>
          <w:numId w:val="36"/>
        </w:numPr>
        <w:jc w:val="both"/>
      </w:pPr>
      <w:r>
        <w:t xml:space="preserve">Not positively </w:t>
      </w:r>
      <w:r w:rsidR="00087209">
        <w:t xml:space="preserve">prepared as it is not based on </w:t>
      </w:r>
      <w:proofErr w:type="gramStart"/>
      <w:r w:rsidR="00087209">
        <w:t>up to date</w:t>
      </w:r>
      <w:proofErr w:type="gramEnd"/>
      <w:r w:rsidR="00087209">
        <w:t xml:space="preserve"> evidence;</w:t>
      </w:r>
    </w:p>
    <w:p w14:paraId="1F422AF2" w14:textId="712DA6E8" w:rsidR="00087209" w:rsidRDefault="00087209" w:rsidP="00FC7C3B">
      <w:pPr>
        <w:pStyle w:val="ListParagraph"/>
        <w:numPr>
          <w:ilvl w:val="0"/>
          <w:numId w:val="36"/>
        </w:numPr>
        <w:jc w:val="both"/>
      </w:pPr>
      <w:r>
        <w:t>Not justified, as it does not consider the reasonable alternat</w:t>
      </w:r>
      <w:r w:rsidR="009538AB">
        <w:t>i</w:t>
      </w:r>
      <w:r>
        <w:t>ve of no EWR/</w:t>
      </w:r>
      <w:proofErr w:type="gramStart"/>
      <w:r>
        <w:t>rail based</w:t>
      </w:r>
      <w:proofErr w:type="gramEnd"/>
      <w:r>
        <w:t xml:space="preserve"> growth</w:t>
      </w:r>
      <w:r w:rsidR="009538AB">
        <w:t xml:space="preserve"> and is not an appropriate strategy based on the evidence, with particular reference to HOU19 Little Barford New Settlement</w:t>
      </w:r>
      <w:r w:rsidR="00400DFE">
        <w:t>;</w:t>
      </w:r>
    </w:p>
    <w:p w14:paraId="78C6C11B" w14:textId="2BD1F38D" w:rsidR="00400DFE" w:rsidRDefault="00BB4617" w:rsidP="00FC7C3B">
      <w:pPr>
        <w:pStyle w:val="ListParagraph"/>
        <w:numPr>
          <w:ilvl w:val="0"/>
          <w:numId w:val="36"/>
        </w:numPr>
        <w:jc w:val="both"/>
      </w:pPr>
      <w:r>
        <w:t xml:space="preserve">Not consistent with national policy as it does not reflect the NPPF’s approach to </w:t>
      </w:r>
      <w:r w:rsidR="007F5C54">
        <w:t>strategic policies</w:t>
      </w:r>
      <w:r w:rsidR="00717438">
        <w:t xml:space="preserve"> and</w:t>
      </w:r>
      <w:r w:rsidR="00CD3596">
        <w:t xml:space="preserve"> plan-making</w:t>
      </w:r>
      <w:r w:rsidR="007F5C54">
        <w:t xml:space="preserve">, particularly paragraphs </w:t>
      </w:r>
      <w:r w:rsidR="00186E25">
        <w:t xml:space="preserve">16, </w:t>
      </w:r>
      <w:r w:rsidR="007F5C54">
        <w:t>20-23</w:t>
      </w:r>
      <w:r w:rsidR="00371E53">
        <w:t>; 31</w:t>
      </w:r>
      <w:r w:rsidR="00717438">
        <w:t>,</w:t>
      </w:r>
      <w:r w:rsidR="00233A00">
        <w:t>32</w:t>
      </w:r>
      <w:r w:rsidR="00717438">
        <w:t xml:space="preserve"> and 35</w:t>
      </w:r>
      <w:r w:rsidR="00233A00">
        <w:t>.</w:t>
      </w:r>
      <w:r w:rsidR="007F5C54">
        <w:t xml:space="preserve"> </w:t>
      </w:r>
      <w:r>
        <w:t xml:space="preserve"> </w:t>
      </w:r>
    </w:p>
    <w:p w14:paraId="02D8BFA9" w14:textId="3517D263" w:rsidR="009F7190" w:rsidRDefault="00FC7C3B" w:rsidP="00B6038E">
      <w:pPr>
        <w:jc w:val="both"/>
      </w:pPr>
      <w:r>
        <w:t xml:space="preserve">We </w:t>
      </w:r>
      <w:r w:rsidR="009F7190">
        <w:t xml:space="preserve">would suggest that the following amendments and additional work is required to ensure that the Local Plan 2040 is </w:t>
      </w:r>
      <w:r w:rsidR="003D7993">
        <w:t xml:space="preserve">legally compliant, </w:t>
      </w:r>
      <w:r w:rsidR="009F7190">
        <w:t xml:space="preserve">sound and positively prepared. </w:t>
      </w:r>
    </w:p>
    <w:p w14:paraId="62B82C63" w14:textId="0DD9C457" w:rsidR="00DC4F77" w:rsidRDefault="00373E35" w:rsidP="005F49C9">
      <w:pPr>
        <w:pStyle w:val="Bullet1"/>
      </w:pPr>
      <w:r>
        <w:t xml:space="preserve">Reassessment of the </w:t>
      </w:r>
      <w:r w:rsidR="003C2637">
        <w:t xml:space="preserve">Sustainability Appraisal, </w:t>
      </w:r>
      <w:r>
        <w:t xml:space="preserve">transport strategy </w:t>
      </w:r>
      <w:r w:rsidR="00A6614E">
        <w:t xml:space="preserve">and </w:t>
      </w:r>
      <w:r w:rsidR="00317EB4">
        <w:t>rail-based</w:t>
      </w:r>
      <w:r w:rsidR="00B31102">
        <w:t xml:space="preserve"> growth parts of the </w:t>
      </w:r>
      <w:r w:rsidR="00A6614E">
        <w:t xml:space="preserve">spatial strategy </w:t>
      </w:r>
      <w:r w:rsidR="00B31102">
        <w:t xml:space="preserve">if the further </w:t>
      </w:r>
      <w:r w:rsidR="007A762A">
        <w:t xml:space="preserve">phases of the EWR scheme </w:t>
      </w:r>
      <w:r w:rsidR="00EA1DEF">
        <w:t>are not</w:t>
      </w:r>
      <w:r w:rsidR="007A762A">
        <w:t xml:space="preserve"> delivered</w:t>
      </w:r>
      <w:r w:rsidR="00B31102">
        <w:t xml:space="preserve"> </w:t>
      </w:r>
      <w:r w:rsidR="00317EB4">
        <w:t>by 2030 or at all</w:t>
      </w:r>
      <w:r w:rsidR="007A762A">
        <w:t xml:space="preserve">. </w:t>
      </w:r>
    </w:p>
    <w:p w14:paraId="0E82B937" w14:textId="768E2F8E" w:rsidR="007A762A" w:rsidRDefault="007A762A" w:rsidP="001401A3">
      <w:pPr>
        <w:pStyle w:val="Bullet1"/>
      </w:pPr>
      <w:r>
        <w:t xml:space="preserve">Reassessment of the Little Barford scheme to </w:t>
      </w:r>
      <w:r w:rsidR="001401A3">
        <w:t xml:space="preserve">determine if </w:t>
      </w:r>
      <w:r>
        <w:t>it remains</w:t>
      </w:r>
      <w:r w:rsidR="001401A3">
        <w:t xml:space="preserve"> a</w:t>
      </w:r>
      <w:r>
        <w:t xml:space="preserve"> sustainable </w:t>
      </w:r>
      <w:r w:rsidR="001401A3">
        <w:t xml:space="preserve">location for growth </w:t>
      </w:r>
      <w:r w:rsidR="00366FD6">
        <w:t>i</w:t>
      </w:r>
      <w:r w:rsidR="00B07565">
        <w:t>f</w:t>
      </w:r>
      <w:r w:rsidR="00366FD6">
        <w:t xml:space="preserve"> the </w:t>
      </w:r>
      <w:r w:rsidR="009F7190">
        <w:t xml:space="preserve">EWR </w:t>
      </w:r>
      <w:r w:rsidR="00366FD6">
        <w:t>line/</w:t>
      </w:r>
      <w:r w:rsidR="009F7190">
        <w:t>station is not delivered</w:t>
      </w:r>
      <w:r w:rsidR="00FB5801">
        <w:t xml:space="preserve">  </w:t>
      </w:r>
    </w:p>
    <w:p w14:paraId="2DFFC839" w14:textId="1BEC92B1" w:rsidR="00366FD6" w:rsidRDefault="00366FD6" w:rsidP="00366FD6">
      <w:pPr>
        <w:pStyle w:val="Bullet1"/>
      </w:pPr>
      <w:r>
        <w:t xml:space="preserve">Show safeguarded land for the A428 Black Cat to Caxton Gibbet Improvement Scheme where it falls within Bedford Borough for clarity and consider </w:t>
      </w:r>
      <w:r w:rsidR="000E0C93">
        <w:t>inclusion</w:t>
      </w:r>
      <w:r>
        <w:t xml:space="preserve"> of a related policy </w:t>
      </w:r>
      <w:r w:rsidR="009C6413">
        <w:t xml:space="preserve">and reference </w:t>
      </w:r>
      <w:r w:rsidR="00442C8B">
        <w:t xml:space="preserve">DCO </w:t>
      </w:r>
      <w:r w:rsidR="009C6413">
        <w:t>(</w:t>
      </w:r>
      <w:r w:rsidR="00442C8B">
        <w:t>decision</w:t>
      </w:r>
      <w:r w:rsidR="009C6413">
        <w:t xml:space="preserve"> due 18 August 2022</w:t>
      </w:r>
      <w:r w:rsidR="00442C8B">
        <w:t>)</w:t>
      </w:r>
    </w:p>
    <w:p w14:paraId="4B88C50A" w14:textId="48C42BF5" w:rsidR="00366FD6" w:rsidRDefault="00366FD6" w:rsidP="00366FD6">
      <w:pPr>
        <w:pStyle w:val="Bullet1"/>
      </w:pPr>
      <w:r>
        <w:t xml:space="preserve">Review all references and reliance upon EWR within </w:t>
      </w:r>
      <w:r w:rsidR="006C175B">
        <w:t xml:space="preserve">supporting text and </w:t>
      </w:r>
      <w:r>
        <w:t xml:space="preserve">specific policies, including HOU19, with the emphasis being on ‘potential’ </w:t>
      </w:r>
      <w:r w:rsidR="00E35AD4">
        <w:t xml:space="preserve">rather than </w:t>
      </w:r>
      <w:proofErr w:type="spellStart"/>
      <w:r w:rsidR="00E35AD4">
        <w:t>‘will</w:t>
      </w:r>
      <w:proofErr w:type="spellEnd"/>
      <w:r w:rsidR="00E35AD4">
        <w:t xml:space="preserve">’ </w:t>
      </w:r>
      <w:r w:rsidR="000505D6">
        <w:t xml:space="preserve">be delivered </w:t>
      </w:r>
      <w:r>
        <w:t>and acknowledg</w:t>
      </w:r>
      <w:r w:rsidR="000505D6">
        <w:t>e</w:t>
      </w:r>
      <w:r>
        <w:t xml:space="preserve"> the uncertainty and potential for change/deletion of the scheme</w:t>
      </w:r>
      <w:r w:rsidR="000505D6">
        <w:t xml:space="preserve"> and </w:t>
      </w:r>
      <w:proofErr w:type="gramStart"/>
      <w:r w:rsidR="000505D6">
        <w:t>knock on</w:t>
      </w:r>
      <w:proofErr w:type="gramEnd"/>
      <w:r w:rsidR="000505D6">
        <w:t xml:space="preserve"> effects on strategy</w:t>
      </w:r>
      <w:r>
        <w:t>.</w:t>
      </w:r>
      <w:r w:rsidR="005E5913">
        <w:t xml:space="preserve">  Paragraphs requiring change include 4.3; 4.18; 4.23; 4.24; 4.27; 4.34; </w:t>
      </w:r>
      <w:r w:rsidR="00E35AD4">
        <w:t>4.35; 4.38; 4.52; 4.95.</w:t>
      </w:r>
    </w:p>
    <w:p w14:paraId="5F6297F5" w14:textId="6844E2C7" w:rsidR="00366FD6" w:rsidRDefault="00366FD6" w:rsidP="00366FD6">
      <w:pPr>
        <w:pStyle w:val="Bullet1"/>
      </w:pPr>
      <w:r>
        <w:t xml:space="preserve">Revisit the evidence base and SA in respect of Little Barford New Settlement to fully assess the impacts – with and without EWR – and adjust the proposed allocation accordingly </w:t>
      </w:r>
      <w:r w:rsidR="00317EB4">
        <w:t xml:space="preserve">along with any consequential </w:t>
      </w:r>
      <w:r w:rsidR="00317EB4" w:rsidRPr="00317EB4">
        <w:t xml:space="preserve">changes to Policy DS5(S) </w:t>
      </w:r>
      <w:r w:rsidR="00AD72C9">
        <w:t>‘</w:t>
      </w:r>
      <w:r w:rsidR="00317EB4" w:rsidRPr="00317EB4">
        <w:t>Distribution of growth</w:t>
      </w:r>
      <w:r w:rsidR="00AD72C9">
        <w:t>’</w:t>
      </w:r>
      <w:r w:rsidR="00317EB4" w:rsidRPr="00317EB4">
        <w:t>.</w:t>
      </w:r>
    </w:p>
    <w:p w14:paraId="0CDD278B" w14:textId="77777777" w:rsidR="00F60625" w:rsidRDefault="00F70729" w:rsidP="00F70729">
      <w:pPr>
        <w:pStyle w:val="Bullet1"/>
      </w:pPr>
      <w:r>
        <w:t>Subject to outcome of above</w:t>
      </w:r>
      <w:r w:rsidR="00F60625">
        <w:t>:</w:t>
      </w:r>
    </w:p>
    <w:p w14:paraId="6A720503" w14:textId="6796DA9C" w:rsidR="00366FD6" w:rsidRDefault="00366FD6" w:rsidP="00F60625">
      <w:pPr>
        <w:pStyle w:val="Bullet1"/>
        <w:numPr>
          <w:ilvl w:val="0"/>
          <w:numId w:val="0"/>
        </w:numPr>
        <w:ind w:left="340"/>
      </w:pPr>
      <w:r>
        <w:t xml:space="preserve">Delete Policy HOU19 and all references to Little Barford New Settlement </w:t>
      </w:r>
      <w:r w:rsidR="00317EB4">
        <w:t xml:space="preserve">and identify alternative sites </w:t>
      </w:r>
      <w:r>
        <w:t>for 3,800 homes to meet the required housing and employment targets</w:t>
      </w:r>
      <w:r w:rsidR="007D1232">
        <w:t xml:space="preserve"> (potentially </w:t>
      </w:r>
      <w:r>
        <w:t xml:space="preserve">necessitating a return to regulation 18) </w:t>
      </w:r>
    </w:p>
    <w:p w14:paraId="3F9A088A" w14:textId="18A28FBE" w:rsidR="006C175B" w:rsidRDefault="000E0C93" w:rsidP="00A6614E">
      <w:pPr>
        <w:pStyle w:val="Bullet1"/>
        <w:numPr>
          <w:ilvl w:val="0"/>
          <w:numId w:val="0"/>
        </w:numPr>
        <w:ind w:left="340"/>
      </w:pPr>
      <w:r>
        <w:t>o</w:t>
      </w:r>
      <w:r w:rsidR="006C175B">
        <w:t>r</w:t>
      </w:r>
    </w:p>
    <w:p w14:paraId="2D0A1B27" w14:textId="44524854" w:rsidR="006C175B" w:rsidRDefault="00FE2740" w:rsidP="00A6614E">
      <w:pPr>
        <w:pStyle w:val="Bullet1"/>
        <w:numPr>
          <w:ilvl w:val="0"/>
          <w:numId w:val="0"/>
        </w:numPr>
        <w:ind w:left="340"/>
      </w:pPr>
      <w:r>
        <w:t xml:space="preserve">Rework the policy HOU19 to </w:t>
      </w:r>
      <w:r w:rsidR="00B64BBC">
        <w:t>require the EWR scheme to be fixed before the submission of a planning application or grant of planning permission</w:t>
      </w:r>
      <w:r w:rsidR="00A03746">
        <w:t xml:space="preserve">. In this instance there must be caveats included on the basis that it is or isn’t delivered to cover the further segregation </w:t>
      </w:r>
      <w:r w:rsidR="00F70729">
        <w:t xml:space="preserve">caused by a new rail line </w:t>
      </w:r>
      <w:r w:rsidR="00F70729">
        <w:lastRenderedPageBreak/>
        <w:t xml:space="preserve">going through the site or the need </w:t>
      </w:r>
      <w:r w:rsidR="00F60625">
        <w:t xml:space="preserve">to safeguard land and any additional criteria </w:t>
      </w:r>
      <w:r w:rsidR="00802A7F">
        <w:t>relevant to linking the delivery to EWR station provision</w:t>
      </w:r>
      <w:r w:rsidR="00B64BBC">
        <w:t xml:space="preserve"> </w:t>
      </w:r>
    </w:p>
    <w:p w14:paraId="2E64AA7D" w14:textId="50C36071" w:rsidR="00366FD6" w:rsidRDefault="00366FD6" w:rsidP="00366FD6">
      <w:pPr>
        <w:pStyle w:val="Bullet1"/>
      </w:pPr>
      <w:r>
        <w:t xml:space="preserve">Delete Figure 11 (or replace it with a plan that is consistent with the other proposed allocations should the Little Barford New Settlement continue to form part of the Councils growth strategy) </w:t>
      </w:r>
    </w:p>
    <w:p w14:paraId="3DC2A380" w14:textId="01C80703" w:rsidR="00301364" w:rsidRDefault="00DC4F77" w:rsidP="005F49C9">
      <w:pPr>
        <w:pStyle w:val="Bullet1"/>
      </w:pPr>
      <w:r>
        <w:t xml:space="preserve">Changes to the stepped trajectory given there is no justification for the delay in the delivery of much needed housing. </w:t>
      </w:r>
      <w:r w:rsidR="00961442">
        <w:t>This would mean 970 dwellings are pro</w:t>
      </w:r>
      <w:r w:rsidR="00342359">
        <w:t xml:space="preserve">vided in the years 2020/21 – 2025/26 and 1520 dwellings are provided per annum thereafter. </w:t>
      </w:r>
      <w:r w:rsidR="00802A7F">
        <w:t xml:space="preserve">Should the Examining </w:t>
      </w:r>
      <w:r w:rsidR="00D800EB">
        <w:t>Inspector find that there is no reasonable justification for the stepped trajectory</w:t>
      </w:r>
      <w:r w:rsidR="008E44BD">
        <w:t xml:space="preserve">, </w:t>
      </w:r>
      <w:r w:rsidR="00D800EB">
        <w:t xml:space="preserve">a flat rate of </w:t>
      </w:r>
      <w:r w:rsidR="001D3447">
        <w:t xml:space="preserve">1,355 dwellings should be provided per annum for the Local Plan period. </w:t>
      </w:r>
      <w:r w:rsidR="001A266E">
        <w:t xml:space="preserve"> </w:t>
      </w:r>
    </w:p>
    <w:p w14:paraId="222B5F2A" w14:textId="31217E31" w:rsidR="000E0C93" w:rsidRDefault="000E0C93" w:rsidP="005F49C9">
      <w:pPr>
        <w:pStyle w:val="Bullet1"/>
      </w:pPr>
      <w:r w:rsidRPr="000E0C93">
        <w:t>DS3(S) ‘Amount and timing of housing growth’</w:t>
      </w:r>
      <w:r>
        <w:t xml:space="preserve"> </w:t>
      </w:r>
      <w:r w:rsidR="00AD72C9">
        <w:t xml:space="preserve">would also </w:t>
      </w:r>
      <w:r>
        <w:t>need</w:t>
      </w:r>
      <w:r w:rsidR="00AD72C9">
        <w:t xml:space="preserve"> </w:t>
      </w:r>
      <w:r>
        <w:t>adjusting to reflect the above comment</w:t>
      </w:r>
      <w:r w:rsidR="008E44BD">
        <w:t>s</w:t>
      </w:r>
    </w:p>
    <w:p w14:paraId="5E00681F" w14:textId="77777777" w:rsidR="001A266E" w:rsidRDefault="001A266E" w:rsidP="001A266E">
      <w:pPr>
        <w:pStyle w:val="Bullet1"/>
        <w:numPr>
          <w:ilvl w:val="0"/>
          <w:numId w:val="0"/>
        </w:numPr>
      </w:pPr>
    </w:p>
    <w:p w14:paraId="1FA17D73" w14:textId="0534FCD4" w:rsidR="00AD72C9" w:rsidRPr="00AD72C9" w:rsidRDefault="00AD72C9" w:rsidP="00B6038E">
      <w:pPr>
        <w:jc w:val="both"/>
        <w:rPr>
          <w:b/>
          <w:bCs/>
        </w:rPr>
      </w:pPr>
      <w:r w:rsidRPr="00AD72C9">
        <w:rPr>
          <w:b/>
          <w:bCs/>
        </w:rPr>
        <w:t>Conclusion</w:t>
      </w:r>
    </w:p>
    <w:p w14:paraId="7255C6DD" w14:textId="3246B39B" w:rsidR="00022D07" w:rsidRDefault="008F2586" w:rsidP="00B6038E">
      <w:pPr>
        <w:jc w:val="both"/>
      </w:pPr>
      <w:r>
        <w:t>In summary, w</w:t>
      </w:r>
      <w:r w:rsidR="005308DF">
        <w:t xml:space="preserve">e would argue that the growing level of uncertainty over the EWR and the reliance of it within the Local Plan 2040 make this plan </w:t>
      </w:r>
      <w:r w:rsidR="00FB42F5">
        <w:t xml:space="preserve">fundamentally </w:t>
      </w:r>
      <w:r w:rsidR="00D73D7E">
        <w:t xml:space="preserve">flawed and as such as a minimum, additional work is required to justify the </w:t>
      </w:r>
      <w:r w:rsidR="00A6675A">
        <w:t xml:space="preserve">Plan and in particular the </w:t>
      </w:r>
      <w:r>
        <w:t xml:space="preserve">reliance upon </w:t>
      </w:r>
      <w:r w:rsidR="00B663F0">
        <w:t>rail-based</w:t>
      </w:r>
      <w:r>
        <w:t xml:space="preserve"> growth </w:t>
      </w:r>
      <w:r w:rsidR="007D03FF">
        <w:t xml:space="preserve">strategy </w:t>
      </w:r>
      <w:r>
        <w:t xml:space="preserve">and </w:t>
      </w:r>
      <w:r w:rsidR="00B663F0">
        <w:t xml:space="preserve">the subsequent </w:t>
      </w:r>
      <w:r w:rsidR="00A6675A">
        <w:t xml:space="preserve">allocation of the Little Barford </w:t>
      </w:r>
      <w:r>
        <w:t xml:space="preserve">New Settlement </w:t>
      </w:r>
      <w:r w:rsidR="00A6675A">
        <w:t xml:space="preserve">site. </w:t>
      </w:r>
    </w:p>
    <w:p w14:paraId="1C82DF30" w14:textId="164E596B" w:rsidR="005F49C9" w:rsidRDefault="003B7957" w:rsidP="00B6038E">
      <w:pPr>
        <w:jc w:val="both"/>
        <w:rPr>
          <w:b/>
          <w:bCs/>
        </w:rPr>
      </w:pPr>
      <w:r>
        <w:t xml:space="preserve">Given the </w:t>
      </w:r>
      <w:r w:rsidR="00A94D01">
        <w:t xml:space="preserve">proportion of the overall </w:t>
      </w:r>
      <w:r w:rsidR="00174698">
        <w:t>housing</w:t>
      </w:r>
      <w:r w:rsidR="00A94D01">
        <w:t xml:space="preserve"> requirement</w:t>
      </w:r>
      <w:r w:rsidR="00174698">
        <w:t xml:space="preserve"> that is proposed to </w:t>
      </w:r>
      <w:r w:rsidR="00A94D01">
        <w:t>be delivered f</w:t>
      </w:r>
      <w:r w:rsidR="00174698">
        <w:t xml:space="preserve">rom </w:t>
      </w:r>
      <w:r w:rsidR="00A94D01">
        <w:t>Policy HOU19 by 2040</w:t>
      </w:r>
      <w:r w:rsidR="00174698">
        <w:t xml:space="preserve">, it will be vital to the success of the plan, and </w:t>
      </w:r>
      <w:r w:rsidR="00AA0172">
        <w:t>fundamentally</w:t>
      </w:r>
      <w:r w:rsidR="004A2646">
        <w:t>,</w:t>
      </w:r>
      <w:r w:rsidR="00174698">
        <w:t xml:space="preserve"> the success of the Borough that </w:t>
      </w:r>
      <w:r w:rsidR="00B16C0F">
        <w:t>development is</w:t>
      </w:r>
      <w:r w:rsidR="00174698">
        <w:t xml:space="preserve"> planned and delivered in the most sustainable way </w:t>
      </w:r>
      <w:r w:rsidR="00622D01">
        <w:t>which safeguards any potential for the future delivery of national infrastructure schemes but ac</w:t>
      </w:r>
      <w:r w:rsidR="00AF127C">
        <w:t xml:space="preserve">knowledges </w:t>
      </w:r>
      <w:r w:rsidR="00622D01">
        <w:t>that the delivery of the EWR line is</w:t>
      </w:r>
      <w:r w:rsidR="00AF127C">
        <w:t xml:space="preserve"> wholly uncertain at this current time and this position is </w:t>
      </w:r>
      <w:r w:rsidR="009A2F24">
        <w:t>unlikely</w:t>
      </w:r>
      <w:r w:rsidR="00AF127C">
        <w:t xml:space="preserve"> to change before </w:t>
      </w:r>
      <w:r w:rsidR="009A2F24">
        <w:t xml:space="preserve">the intended submission date. </w:t>
      </w:r>
    </w:p>
    <w:p w14:paraId="2CE0BE02" w14:textId="212F6A89" w:rsidR="009E0FA7" w:rsidRDefault="009E0FA7" w:rsidP="00B6038E">
      <w:pPr>
        <w:jc w:val="both"/>
      </w:pPr>
      <w:r>
        <w:t>We acknowledge the level of work that goes into the preparation of a Local Plan and the need to make some level of assumption given the timing</w:t>
      </w:r>
      <w:r w:rsidR="004628EB">
        <w:t xml:space="preserve"> that they span, however the </w:t>
      </w:r>
      <w:r w:rsidR="001A266E">
        <w:t xml:space="preserve">reliance on rail-based growth to underpin the spatial strategy </w:t>
      </w:r>
      <w:r w:rsidR="004628EB">
        <w:t xml:space="preserve">is considered a fundamental flaw of the plan and as such additional work should be undertaken to ensure that </w:t>
      </w:r>
      <w:r w:rsidR="008240A8">
        <w:t xml:space="preserve">the Plan remains robust even if the scheme is not delivered.  In its current form, we conclude that the Plan is not </w:t>
      </w:r>
      <w:r w:rsidR="00A664B1">
        <w:t xml:space="preserve">sound and therefore should not be </w:t>
      </w:r>
      <w:r w:rsidR="00967AB0">
        <w:t xml:space="preserve">submitted for examination.  </w:t>
      </w:r>
      <w:r w:rsidR="00D8758C">
        <w:t xml:space="preserve">If this remains its preferred spatial strategy, the </w:t>
      </w:r>
      <w:r w:rsidR="00967AB0">
        <w:t xml:space="preserve">Council should pause </w:t>
      </w:r>
      <w:r w:rsidR="00D8758C">
        <w:t xml:space="preserve">work until there is more certainty and to enable joint working with the neighbouring authorities that are also affected by the outcome of the EWR scheme. </w:t>
      </w:r>
      <w:r w:rsidR="00A664B1">
        <w:t xml:space="preserve"> </w:t>
      </w:r>
    </w:p>
    <w:p w14:paraId="6ADEBCAE" w14:textId="094D0DE0" w:rsidR="00BF6E05" w:rsidRPr="00381B12" w:rsidRDefault="00BF6E05" w:rsidP="00B6038E">
      <w:pPr>
        <w:jc w:val="both"/>
      </w:pPr>
      <w:r>
        <w:t>We hope that these comments are useful and guide the future preparation of the Plan, should any questions</w:t>
      </w:r>
      <w:r w:rsidR="002823E6">
        <w:t xml:space="preserve"> arise, please do not hesitate to contact us.  </w:t>
      </w:r>
      <w:r w:rsidR="00CF27CC">
        <w:t>Alternatively,</w:t>
      </w:r>
      <w:r w:rsidR="002823E6">
        <w:t xml:space="preserve"> we look forward to </w:t>
      </w:r>
      <w:r w:rsidR="00AA0172">
        <w:t>further</w:t>
      </w:r>
      <w:r w:rsidR="002823E6">
        <w:t xml:space="preserve"> participation in th</w:t>
      </w:r>
      <w:r w:rsidR="00234DE9">
        <w:t xml:space="preserve">e Bedford Borough Council Local Plan 2040 and we would be most grateful if you could </w:t>
      </w:r>
      <w:r w:rsidR="00AA0172">
        <w:t>exclude</w:t>
      </w:r>
      <w:r w:rsidR="00234DE9">
        <w:t xml:space="preserve"> us in any future </w:t>
      </w:r>
      <w:r w:rsidR="00AA0172">
        <w:t xml:space="preserve">consultations. </w:t>
      </w:r>
    </w:p>
    <w:sectPr w:rsidR="00BF6E05" w:rsidRPr="00381B12" w:rsidSect="002942ED">
      <w:footerReference w:type="default" r:id="rId20"/>
      <w:headerReference w:type="first" r:id="rId21"/>
      <w:footerReference w:type="first" r:id="rId22"/>
      <w:pgSz w:w="11906" w:h="16838"/>
      <w:pgMar w:top="1440" w:right="1304" w:bottom="1440" w:left="1304" w:header="964"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083902" w14:textId="77777777" w:rsidR="00877AEE" w:rsidRDefault="00877AEE" w:rsidP="00D45700">
      <w:pPr>
        <w:spacing w:after="0" w:line="240" w:lineRule="auto"/>
      </w:pPr>
      <w:r>
        <w:separator/>
      </w:r>
    </w:p>
  </w:endnote>
  <w:endnote w:type="continuationSeparator" w:id="0">
    <w:p w14:paraId="77CA2CE0" w14:textId="77777777" w:rsidR="00877AEE" w:rsidRDefault="00877AEE" w:rsidP="00D45700">
      <w:pPr>
        <w:spacing w:after="0" w:line="240" w:lineRule="auto"/>
      </w:pPr>
      <w:r>
        <w:continuationSeparator/>
      </w:r>
    </w:p>
  </w:endnote>
  <w:endnote w:type="continuationNotice" w:id="1">
    <w:p w14:paraId="098CCFED" w14:textId="77777777" w:rsidR="00877AEE" w:rsidRDefault="00877AE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EC2E5" w14:textId="12965ED1" w:rsidR="00E1048F" w:rsidRPr="002F3164" w:rsidRDefault="00E1048F" w:rsidP="006F499A">
    <w:pPr>
      <w:pStyle w:val="PageNumber1"/>
      <w:rPr>
        <w:color w:val="auto"/>
      </w:rPr>
    </w:pPr>
    <w:r w:rsidRPr="002F3164">
      <w:rPr>
        <w:color w:val="auto"/>
      </w:rPr>
      <w:drawing>
        <wp:anchor distT="0" distB="0" distL="114300" distR="114300" simplePos="0" relativeHeight="251658240" behindDoc="0" locked="1" layoutInCell="1" allowOverlap="1" wp14:anchorId="16F684BD" wp14:editId="07B2AE58">
          <wp:simplePos x="0" y="0"/>
          <wp:positionH relativeFrom="margin">
            <wp:posOffset>5325110</wp:posOffset>
          </wp:positionH>
          <wp:positionV relativeFrom="page">
            <wp:posOffset>407035</wp:posOffset>
          </wp:positionV>
          <wp:extent cx="1011555" cy="268605"/>
          <wp:effectExtent l="0" t="0" r="0" b="0"/>
          <wp:wrapNone/>
          <wp:docPr id="4" name="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idwells\logo.em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11555" cy="268605"/>
                  </a:xfrm>
                  <a:prstGeom prst="rect">
                    <a:avLst/>
                  </a:prstGeom>
                  <a:noFill/>
                  <a:ln>
                    <a:noFill/>
                  </a:ln>
                </pic:spPr>
              </pic:pic>
            </a:graphicData>
          </a:graphic>
          <wp14:sizeRelH relativeFrom="page">
            <wp14:pctWidth>0</wp14:pctWidth>
          </wp14:sizeRelH>
          <wp14:sizeRelV relativeFrom="page">
            <wp14:pctHeight>0</wp14:pctHeight>
          </wp14:sizeRelV>
        </wp:anchor>
      </w:drawing>
    </w:r>
    <w:r w:rsidR="003B10D3" w:rsidRPr="002F3164">
      <w:rPr>
        <w:color w:val="auto"/>
      </w:rPr>
      <w:t xml:space="preserve">Page </w:t>
    </w:r>
    <w:r w:rsidR="003B10D3" w:rsidRPr="002F3164">
      <w:rPr>
        <w:color w:val="auto"/>
      </w:rPr>
      <w:fldChar w:fldCharType="begin"/>
    </w:r>
    <w:r w:rsidR="003B10D3" w:rsidRPr="002F3164">
      <w:rPr>
        <w:color w:val="auto"/>
      </w:rPr>
      <w:instrText xml:space="preserve"> PAGE   \* MERGEFORMAT </w:instrText>
    </w:r>
    <w:r w:rsidR="003B10D3" w:rsidRPr="002F3164">
      <w:rPr>
        <w:color w:val="auto"/>
      </w:rPr>
      <w:fldChar w:fldCharType="separate"/>
    </w:r>
    <w:r w:rsidR="007105C6" w:rsidRPr="002F3164">
      <w:rPr>
        <w:color w:val="auto"/>
      </w:rPr>
      <w:t>5</w:t>
    </w:r>
    <w:r w:rsidR="003B10D3" w:rsidRPr="002F3164">
      <w:rPr>
        <w:color w:val="auto"/>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EACB7" w14:textId="2E56F205" w:rsidR="00262B63" w:rsidRPr="001D7E55" w:rsidRDefault="00262B63" w:rsidP="006F499A">
    <w:pPr>
      <w:pStyle w:val="Officeaddress"/>
      <w:rPr>
        <w:color w:val="auto"/>
        <w:szCs w:val="16"/>
        <w:lang w:val="en-GB"/>
      </w:rPr>
    </w:pPr>
    <w:r w:rsidRPr="001D7E55">
      <w:rPr>
        <w:color w:val="auto"/>
        <w:szCs w:val="16"/>
        <w:lang w:val="en-GB"/>
      </w:rPr>
      <w:t xml:space="preserve">Registered </w:t>
    </w:r>
    <w:proofErr w:type="gramStart"/>
    <w:r w:rsidRPr="001D7E55">
      <w:rPr>
        <w:color w:val="auto"/>
        <w:szCs w:val="16"/>
        <w:lang w:val="en-GB"/>
      </w:rPr>
      <w:t>Office;</w:t>
    </w:r>
    <w:proofErr w:type="gramEnd"/>
    <w:r w:rsidRPr="001D7E55">
      <w:rPr>
        <w:color w:val="auto"/>
        <w:szCs w:val="16"/>
        <w:lang w:val="en-GB"/>
      </w:rPr>
      <w:t xml:space="preserve"> Roebuck Land and Planning Ltd - 3 High Street, Stoke Goldington, Newport Pagnell, Bucks, MK16 8NP</w:t>
    </w:r>
  </w:p>
  <w:p w14:paraId="588F7651" w14:textId="72B010EA" w:rsidR="00DC4C49" w:rsidRPr="001D7E55" w:rsidRDefault="00FD183C" w:rsidP="00DC4C49">
    <w:pPr>
      <w:rPr>
        <w:rFonts w:ascii="Arial" w:hAnsi="Arial" w:cs="Arial"/>
        <w:sz w:val="16"/>
        <w:szCs w:val="16"/>
        <w:lang w:val="en"/>
      </w:rPr>
    </w:pPr>
    <w:r w:rsidRPr="001D7E55">
      <w:rPr>
        <w:rFonts w:ascii="Arial" w:hAnsi="Arial" w:cs="Arial"/>
        <w:sz w:val="16"/>
        <w:szCs w:val="16"/>
        <w:lang w:val="en"/>
      </w:rPr>
      <w:t>Incorporated and registered in England and Wales - registered number </w:t>
    </w:r>
    <w:r w:rsidR="00A730A8" w:rsidRPr="001D7E55">
      <w:rPr>
        <w:rFonts w:ascii="Arial" w:hAnsi="Arial" w:cs="Arial"/>
        <w:sz w:val="16"/>
        <w:szCs w:val="16"/>
        <w:lang w:val="en"/>
      </w:rPr>
      <w:t xml:space="preserve">11861491: VAT Registration </w:t>
    </w:r>
    <w:r w:rsidR="001D7E55" w:rsidRPr="001D7E55">
      <w:rPr>
        <w:rFonts w:ascii="Arial" w:hAnsi="Arial" w:cs="Arial"/>
        <w:sz w:val="16"/>
        <w:szCs w:val="16"/>
        <w:lang w:val="en"/>
      </w:rPr>
      <w:t>number 318195493</w:t>
    </w:r>
  </w:p>
  <w:p w14:paraId="1F9AC707" w14:textId="77777777" w:rsidR="00927A6E" w:rsidRPr="00DC4C49" w:rsidRDefault="00927A6E" w:rsidP="00DC4C4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3A2DD1" w14:textId="77777777" w:rsidR="00877AEE" w:rsidRDefault="00877AEE" w:rsidP="00D45700">
      <w:pPr>
        <w:spacing w:after="0" w:line="240" w:lineRule="auto"/>
      </w:pPr>
      <w:r>
        <w:separator/>
      </w:r>
    </w:p>
  </w:footnote>
  <w:footnote w:type="continuationSeparator" w:id="0">
    <w:p w14:paraId="6B1B8FB8" w14:textId="77777777" w:rsidR="00877AEE" w:rsidRDefault="00877AEE" w:rsidP="00D45700">
      <w:pPr>
        <w:spacing w:after="0" w:line="240" w:lineRule="auto"/>
      </w:pPr>
      <w:r>
        <w:continuationSeparator/>
      </w:r>
    </w:p>
  </w:footnote>
  <w:footnote w:type="continuationNotice" w:id="1">
    <w:p w14:paraId="1FE5B6C4" w14:textId="77777777" w:rsidR="00877AEE" w:rsidRDefault="00877AE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06CBA" w14:textId="77777777" w:rsidR="003B10D3" w:rsidRDefault="003B10D3" w:rsidP="00D45700">
    <w:pPr>
      <w:pStyle w:val="Header"/>
    </w:pPr>
  </w:p>
  <w:p w14:paraId="7AC7FDB9" w14:textId="1375BD53" w:rsidR="004C4C44" w:rsidRDefault="00262B63" w:rsidP="00262B63">
    <w:pPr>
      <w:pStyle w:val="Header"/>
      <w:jc w:val="right"/>
    </w:pPr>
    <w:r>
      <w:rPr>
        <w:noProof/>
        <w:sz w:val="14"/>
      </w:rPr>
      <w:drawing>
        <wp:inline distT="0" distB="0" distL="0" distR="0" wp14:anchorId="26ECCCC8" wp14:editId="6578CDE6">
          <wp:extent cx="1945005" cy="516890"/>
          <wp:effectExtent l="0" t="0" r="0" b="0"/>
          <wp:docPr id="1" name="Picture 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ebuck Logo.jpg"/>
                  <pic:cNvPicPr/>
                </pic:nvPicPr>
                <pic:blipFill>
                  <a:blip r:embed="rId1">
                    <a:extLst>
                      <a:ext uri="{28A0092B-C50C-407E-A947-70E740481C1C}">
                        <a14:useLocalDpi xmlns:a14="http://schemas.microsoft.com/office/drawing/2010/main" val="0"/>
                      </a:ext>
                    </a:extLst>
                  </a:blip>
                  <a:stretch>
                    <a:fillRect/>
                  </a:stretch>
                </pic:blipFill>
                <pic:spPr>
                  <a:xfrm>
                    <a:off x="0" y="0"/>
                    <a:ext cx="1945005" cy="516890"/>
                  </a:xfrm>
                  <a:prstGeom prst="rect">
                    <a:avLst/>
                  </a:prstGeom>
                </pic:spPr>
              </pic:pic>
            </a:graphicData>
          </a:graphic>
        </wp:inline>
      </w:drawing>
    </w:r>
  </w:p>
  <w:p w14:paraId="655DA076" w14:textId="77777777" w:rsidR="004C4C44" w:rsidRDefault="004C4C44" w:rsidP="00D45700">
    <w:pPr>
      <w:pStyle w:val="Header"/>
    </w:pPr>
  </w:p>
  <w:p w14:paraId="53E1AB41" w14:textId="77777777" w:rsidR="004C4C44" w:rsidRDefault="004C4C44" w:rsidP="00D45700">
    <w:pPr>
      <w:pStyle w:val="Header"/>
    </w:pPr>
  </w:p>
  <w:tbl>
    <w:tblPr>
      <w:tblStyle w:val="TableGrid"/>
      <w:tblW w:w="4022" w:type="dxa"/>
      <w:tblInd w:w="62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851"/>
      <w:gridCol w:w="3171"/>
    </w:tblGrid>
    <w:tr w:rsidR="00A25A06" w14:paraId="3EB49608" w14:textId="77777777" w:rsidTr="00702DFB">
      <w:tc>
        <w:tcPr>
          <w:tcW w:w="851" w:type="dxa"/>
        </w:tcPr>
        <w:p w14:paraId="1373B508" w14:textId="58757AD8" w:rsidR="00A25A06" w:rsidRPr="00262B63" w:rsidRDefault="00A25A06" w:rsidP="00702DFB">
          <w:pPr>
            <w:pStyle w:val="letterheadreferences"/>
            <w:rPr>
              <w:color w:val="auto"/>
              <w:sz w:val="14"/>
            </w:rPr>
          </w:pPr>
        </w:p>
      </w:tc>
      <w:tc>
        <w:tcPr>
          <w:tcW w:w="3171" w:type="dxa"/>
        </w:tcPr>
        <w:p w14:paraId="58F4B445" w14:textId="3D17E33D" w:rsidR="00A25A06" w:rsidRPr="00262B63" w:rsidRDefault="00A25A06" w:rsidP="00693E7F">
          <w:pPr>
            <w:pStyle w:val="letterheadreferences"/>
            <w:rPr>
              <w:color w:val="auto"/>
              <w:sz w:val="14"/>
            </w:rPr>
          </w:pPr>
        </w:p>
      </w:tc>
    </w:tr>
    <w:tr w:rsidR="00A25A06" w14:paraId="70BA172C" w14:textId="77777777" w:rsidTr="00D7158C">
      <w:trPr>
        <w:trHeight w:val="87"/>
      </w:trPr>
      <w:tc>
        <w:tcPr>
          <w:tcW w:w="851" w:type="dxa"/>
        </w:tcPr>
        <w:p w14:paraId="30EC7804" w14:textId="65E2AD58" w:rsidR="00A25A06" w:rsidRPr="00262B63" w:rsidRDefault="00A25A06" w:rsidP="00702DFB">
          <w:pPr>
            <w:pStyle w:val="letterheadreferences"/>
            <w:rPr>
              <w:color w:val="auto"/>
              <w:sz w:val="14"/>
            </w:rPr>
          </w:pPr>
        </w:p>
      </w:tc>
      <w:tc>
        <w:tcPr>
          <w:tcW w:w="3171" w:type="dxa"/>
        </w:tcPr>
        <w:p w14:paraId="7AC4F363" w14:textId="2DF68896" w:rsidR="00A25A06" w:rsidRPr="00262B63" w:rsidRDefault="00A25A06" w:rsidP="00702DFB">
          <w:pPr>
            <w:pStyle w:val="letterheadreferences"/>
            <w:rPr>
              <w:color w:val="auto"/>
              <w:sz w:val="14"/>
            </w:rPr>
          </w:pPr>
        </w:p>
      </w:tc>
    </w:tr>
  </w:tbl>
  <w:p w14:paraId="4D5DF441" w14:textId="77777777" w:rsidR="00D45700" w:rsidRDefault="00D45700" w:rsidP="002F41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E7C9C"/>
    <w:multiLevelType w:val="hybridMultilevel"/>
    <w:tmpl w:val="94DAD6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CE3BE0"/>
    <w:multiLevelType w:val="hybridMultilevel"/>
    <w:tmpl w:val="7FA8C6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045219"/>
    <w:multiLevelType w:val="hybridMultilevel"/>
    <w:tmpl w:val="92006F9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43E4364"/>
    <w:multiLevelType w:val="multilevel"/>
    <w:tmpl w:val="28B64EE8"/>
    <w:lvl w:ilvl="0">
      <w:start w:val="1"/>
      <w:numFmt w:val="decimal"/>
      <w:pStyle w:val="Number1"/>
      <w:lvlText w:val="%1.0"/>
      <w:lvlJc w:val="right"/>
      <w:pPr>
        <w:ind w:left="680" w:hanging="680"/>
      </w:pPr>
      <w:rPr>
        <w:rFonts w:hint="default"/>
        <w:sz w:val="36"/>
      </w:rPr>
    </w:lvl>
    <w:lvl w:ilvl="1">
      <w:start w:val="1"/>
      <w:numFmt w:val="decimal"/>
      <w:pStyle w:val="Number2"/>
      <w:lvlText w:val="%1.%2"/>
      <w:lvlJc w:val="right"/>
      <w:pPr>
        <w:ind w:left="680" w:hanging="680"/>
      </w:pPr>
      <w:rPr>
        <w:rFonts w:hint="default"/>
      </w:rPr>
    </w:lvl>
    <w:lvl w:ilvl="2">
      <w:start w:val="1"/>
      <w:numFmt w:val="decimal"/>
      <w:pStyle w:val="Number3"/>
      <w:lvlText w:val="%1.%2.%3"/>
      <w:lvlJc w:val="right"/>
      <w:pPr>
        <w:ind w:left="680" w:hanging="680"/>
      </w:pPr>
      <w:rPr>
        <w:rFonts w:hint="default"/>
      </w:rPr>
    </w:lvl>
    <w:lvl w:ilvl="3">
      <w:start w:val="1"/>
      <w:numFmt w:val="decimal"/>
      <w:pStyle w:val="Number4"/>
      <w:lvlText w:val="%1.%2.%3.%4"/>
      <w:lvlJc w:val="right"/>
      <w:pPr>
        <w:ind w:left="680" w:hanging="680"/>
      </w:pPr>
      <w:rPr>
        <w:rFonts w:hint="default"/>
      </w:rPr>
    </w:lvl>
    <w:lvl w:ilvl="4">
      <w:start w:val="1"/>
      <w:numFmt w:val="decimal"/>
      <w:pStyle w:val="Number5"/>
      <w:lvlText w:val="%1.%2.%3.%4.%5"/>
      <w:lvlJc w:val="right"/>
      <w:pPr>
        <w:ind w:left="680" w:hanging="680"/>
      </w:pPr>
      <w:rPr>
        <w:rFonts w:hint="default"/>
        <w:sz w:val="16"/>
      </w:rPr>
    </w:lvl>
    <w:lvl w:ilvl="5">
      <w:start w:val="1"/>
      <w:numFmt w:val="decimal"/>
      <w:lvlText w:val="%1.%2.%3.%4.%5.%6"/>
      <w:lvlJc w:val="right"/>
      <w:pPr>
        <w:ind w:left="680" w:hanging="680"/>
      </w:pPr>
      <w:rPr>
        <w:rFonts w:hint="default"/>
      </w:rPr>
    </w:lvl>
    <w:lvl w:ilvl="6">
      <w:start w:val="1"/>
      <w:numFmt w:val="decimal"/>
      <w:lvlText w:val="%7."/>
      <w:lvlJc w:val="right"/>
      <w:pPr>
        <w:ind w:left="680" w:hanging="680"/>
      </w:pPr>
      <w:rPr>
        <w:rFonts w:hint="default"/>
      </w:rPr>
    </w:lvl>
    <w:lvl w:ilvl="7">
      <w:start w:val="1"/>
      <w:numFmt w:val="lowerLetter"/>
      <w:lvlText w:val="%8."/>
      <w:lvlJc w:val="right"/>
      <w:pPr>
        <w:ind w:left="680" w:hanging="680"/>
      </w:pPr>
      <w:rPr>
        <w:rFonts w:hint="default"/>
      </w:rPr>
    </w:lvl>
    <w:lvl w:ilvl="8">
      <w:start w:val="1"/>
      <w:numFmt w:val="lowerRoman"/>
      <w:lvlText w:val="%9."/>
      <w:lvlJc w:val="right"/>
      <w:pPr>
        <w:ind w:left="680" w:hanging="680"/>
      </w:pPr>
      <w:rPr>
        <w:rFonts w:hint="default"/>
      </w:rPr>
    </w:lvl>
  </w:abstractNum>
  <w:abstractNum w:abstractNumId="4" w15:restartNumberingAfterBreak="0">
    <w:nsid w:val="15B73FF0"/>
    <w:multiLevelType w:val="multilevel"/>
    <w:tmpl w:val="BB46F0F0"/>
    <w:lvl w:ilvl="0">
      <w:start w:val="1"/>
      <w:numFmt w:val="bullet"/>
      <w:pStyle w:val="Bullet1"/>
      <w:lvlText w:val="●"/>
      <w:lvlJc w:val="left"/>
      <w:pPr>
        <w:tabs>
          <w:tab w:val="num" w:pos="340"/>
        </w:tabs>
        <w:ind w:left="340" w:hanging="340"/>
      </w:pPr>
      <w:rPr>
        <w:rFonts w:ascii="Calibri" w:hAnsi="Calibri" w:hint="default"/>
        <w:color w:val="897768"/>
      </w:rPr>
    </w:lvl>
    <w:lvl w:ilvl="1">
      <w:start w:val="1"/>
      <w:numFmt w:val="bullet"/>
      <w:pStyle w:val="Bullet2"/>
      <w:lvlText w:val=""/>
      <w:lvlJc w:val="left"/>
      <w:pPr>
        <w:tabs>
          <w:tab w:val="num" w:pos="680"/>
        </w:tabs>
        <w:ind w:left="680" w:hanging="340"/>
      </w:pPr>
      <w:rPr>
        <w:rFonts w:ascii="Symbol" w:hAnsi="Symbol" w:hint="default"/>
        <w:color w:val="000000" w:themeColor="text1"/>
      </w:rPr>
    </w:lvl>
    <w:lvl w:ilvl="2">
      <w:start w:val="1"/>
      <w:numFmt w:val="bullet"/>
      <w:pStyle w:val="Bullet3"/>
      <w:lvlText w:val="●"/>
      <w:lvlJc w:val="left"/>
      <w:pPr>
        <w:tabs>
          <w:tab w:val="num" w:pos="1020"/>
        </w:tabs>
        <w:ind w:left="1020" w:hanging="340"/>
      </w:pPr>
      <w:rPr>
        <w:rFonts w:ascii="Calibri" w:hAnsi="Calibri" w:hint="default"/>
        <w:color w:val="ABD8ED" w:themeColor="accent2"/>
      </w:rPr>
    </w:lvl>
    <w:lvl w:ilvl="3">
      <w:start w:val="1"/>
      <w:numFmt w:val="bullet"/>
      <w:pStyle w:val="Bullet4"/>
      <w:lvlText w:val=""/>
      <w:lvlJc w:val="left"/>
      <w:pPr>
        <w:tabs>
          <w:tab w:val="num" w:pos="1360"/>
        </w:tabs>
        <w:ind w:left="1360" w:hanging="340"/>
      </w:pPr>
      <w:rPr>
        <w:rFonts w:ascii="Symbol" w:hAnsi="Symbol" w:hint="default"/>
        <w:color w:val="000000" w:themeColor="text1"/>
      </w:rPr>
    </w:lvl>
    <w:lvl w:ilvl="4">
      <w:start w:val="1"/>
      <w:numFmt w:val="bullet"/>
      <w:pStyle w:val="Bullet5"/>
      <w:lvlText w:val="●"/>
      <w:lvlJc w:val="left"/>
      <w:pPr>
        <w:tabs>
          <w:tab w:val="num" w:pos="1700"/>
        </w:tabs>
        <w:ind w:left="1700" w:hanging="340"/>
      </w:pPr>
      <w:rPr>
        <w:rFonts w:ascii="Calibri" w:hAnsi="Calibri" w:hint="default"/>
        <w:color w:val="ABD8ED" w:themeColor="accent2"/>
      </w:rPr>
    </w:lvl>
    <w:lvl w:ilvl="5">
      <w:start w:val="1"/>
      <w:numFmt w:val="bullet"/>
      <w:pStyle w:val="Bullet6"/>
      <w:lvlText w:val=""/>
      <w:lvlJc w:val="left"/>
      <w:pPr>
        <w:tabs>
          <w:tab w:val="num" w:pos="2040"/>
        </w:tabs>
        <w:ind w:left="2040" w:hanging="340"/>
      </w:pPr>
      <w:rPr>
        <w:rFonts w:ascii="Symbol" w:hAnsi="Symbol" w:hint="default"/>
        <w:color w:val="000000" w:themeColor="text1"/>
      </w:rPr>
    </w:lvl>
    <w:lvl w:ilvl="6">
      <w:start w:val="1"/>
      <w:numFmt w:val="bullet"/>
      <w:pStyle w:val="Bullet7"/>
      <w:lvlText w:val="●"/>
      <w:lvlJc w:val="left"/>
      <w:pPr>
        <w:tabs>
          <w:tab w:val="num" w:pos="2380"/>
        </w:tabs>
        <w:ind w:left="2380" w:hanging="340"/>
      </w:pPr>
      <w:rPr>
        <w:rFonts w:ascii="Calibri" w:hAnsi="Calibri" w:hint="default"/>
        <w:color w:val="ABD8ED" w:themeColor="accent2"/>
      </w:rPr>
    </w:lvl>
    <w:lvl w:ilvl="7">
      <w:start w:val="1"/>
      <w:numFmt w:val="bullet"/>
      <w:pStyle w:val="Bullet8"/>
      <w:lvlText w:val=""/>
      <w:lvlJc w:val="left"/>
      <w:pPr>
        <w:tabs>
          <w:tab w:val="num" w:pos="2720"/>
        </w:tabs>
        <w:ind w:left="2720" w:hanging="340"/>
      </w:pPr>
      <w:rPr>
        <w:rFonts w:ascii="Symbol" w:hAnsi="Symbol" w:hint="default"/>
        <w:color w:val="000000" w:themeColor="text1"/>
      </w:rPr>
    </w:lvl>
    <w:lvl w:ilvl="8">
      <w:start w:val="1"/>
      <w:numFmt w:val="bullet"/>
      <w:lvlText w:val="●"/>
      <w:lvlJc w:val="left"/>
      <w:pPr>
        <w:tabs>
          <w:tab w:val="num" w:pos="3060"/>
        </w:tabs>
        <w:ind w:left="3060" w:hanging="340"/>
      </w:pPr>
      <w:rPr>
        <w:rFonts w:ascii="Calibri" w:hAnsi="Calibri" w:hint="default"/>
        <w:color w:val="ABD8ED" w:themeColor="accent2"/>
      </w:rPr>
    </w:lvl>
  </w:abstractNum>
  <w:abstractNum w:abstractNumId="5" w15:restartNumberingAfterBreak="0">
    <w:nsid w:val="20CC73EE"/>
    <w:multiLevelType w:val="hybridMultilevel"/>
    <w:tmpl w:val="4AA4000C"/>
    <w:lvl w:ilvl="0" w:tplc="808C0E7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EE3129"/>
    <w:multiLevelType w:val="hybridMultilevel"/>
    <w:tmpl w:val="74BE34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BB165FD"/>
    <w:multiLevelType w:val="hybridMultilevel"/>
    <w:tmpl w:val="BAD61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7A221C"/>
    <w:multiLevelType w:val="multilevel"/>
    <w:tmpl w:val="CA7C6AE4"/>
    <w:styleLink w:val="NumbLstMain"/>
    <w:lvl w:ilvl="0">
      <w:start w:val="1"/>
      <w:numFmt w:val="decimal"/>
      <w:pStyle w:val="Heading1Text"/>
      <w:lvlText w:val="%1"/>
      <w:lvlJc w:val="left"/>
      <w:pPr>
        <w:tabs>
          <w:tab w:val="num" w:pos="680"/>
        </w:tabs>
        <w:ind w:left="680" w:hanging="680"/>
      </w:pPr>
      <w:rPr>
        <w:rFonts w:hint="default"/>
      </w:rPr>
    </w:lvl>
    <w:lvl w:ilvl="1">
      <w:start w:val="1"/>
      <w:numFmt w:val="decimal"/>
      <w:pStyle w:val="Heading2Text"/>
      <w:lvlText w:val="%1.%2"/>
      <w:lvlJc w:val="left"/>
      <w:pPr>
        <w:tabs>
          <w:tab w:val="num" w:pos="680"/>
        </w:tabs>
        <w:ind w:left="680" w:hanging="680"/>
      </w:pPr>
      <w:rPr>
        <w:rFonts w:hint="default"/>
      </w:rPr>
    </w:lvl>
    <w:lvl w:ilvl="2">
      <w:start w:val="1"/>
      <w:numFmt w:val="decimal"/>
      <w:pStyle w:val="Heading3Text"/>
      <w:lvlText w:val="%1.%2.%3"/>
      <w:lvlJc w:val="left"/>
      <w:pPr>
        <w:tabs>
          <w:tab w:val="num" w:pos="680"/>
        </w:tabs>
        <w:ind w:left="680" w:hanging="680"/>
      </w:pPr>
      <w:rPr>
        <w:rFonts w:hint="default"/>
      </w:rPr>
    </w:lvl>
    <w:lvl w:ilvl="3">
      <w:start w:val="1"/>
      <w:numFmt w:val="decimal"/>
      <w:pStyle w:val="Heading4Text"/>
      <w:lvlText w:val="%1.%2.%3.%4"/>
      <w:lvlJc w:val="left"/>
      <w:pPr>
        <w:tabs>
          <w:tab w:val="num" w:pos="1021"/>
        </w:tabs>
        <w:ind w:left="1021" w:hanging="1021"/>
      </w:pPr>
      <w:rPr>
        <w:rFonts w:hint="default"/>
      </w:rPr>
    </w:lvl>
    <w:lvl w:ilvl="4">
      <w:start w:val="1"/>
      <w:numFmt w:val="lowerLetter"/>
      <w:pStyle w:val="BTNumbList1"/>
      <w:lvlText w:val="%5"/>
      <w:lvlJc w:val="left"/>
      <w:pPr>
        <w:tabs>
          <w:tab w:val="num" w:pos="1021"/>
        </w:tabs>
        <w:ind w:left="1021" w:hanging="341"/>
      </w:pPr>
      <w:rPr>
        <w:rFonts w:hint="default"/>
      </w:rPr>
    </w:lvl>
    <w:lvl w:ilvl="5">
      <w:start w:val="1"/>
      <w:numFmt w:val="lowerRoman"/>
      <w:pStyle w:val="BTNumbList2"/>
      <w:lvlText w:val="%6"/>
      <w:lvlJc w:val="left"/>
      <w:pPr>
        <w:tabs>
          <w:tab w:val="num" w:pos="1361"/>
        </w:tabs>
        <w:ind w:left="1361" w:hanging="340"/>
      </w:pPr>
      <w:rPr>
        <w:rFonts w:hint="default"/>
      </w:rPr>
    </w:lvl>
    <w:lvl w:ilvl="6">
      <w:start w:val="1"/>
      <w:numFmt w:val="bullet"/>
      <w:pStyle w:val="BTBullet1"/>
      <w:lvlText w:val="■"/>
      <w:lvlJc w:val="left"/>
      <w:pPr>
        <w:tabs>
          <w:tab w:val="num" w:pos="1021"/>
        </w:tabs>
        <w:ind w:left="1021" w:hanging="341"/>
      </w:pPr>
      <w:rPr>
        <w:rFonts w:ascii="Arial" w:hAnsi="Arial" w:hint="default"/>
        <w:color w:val="auto"/>
      </w:rPr>
    </w:lvl>
    <w:lvl w:ilvl="7">
      <w:start w:val="1"/>
      <w:numFmt w:val="bullet"/>
      <w:pStyle w:val="BTBullet2"/>
      <w:lvlText w:val="–"/>
      <w:lvlJc w:val="left"/>
      <w:pPr>
        <w:tabs>
          <w:tab w:val="num" w:pos="1361"/>
        </w:tabs>
        <w:ind w:left="1361" w:hanging="340"/>
      </w:pPr>
      <w:rPr>
        <w:rFonts w:ascii="Arial" w:hAnsi="Arial" w:hint="default"/>
        <w:color w:val="auto"/>
      </w:rPr>
    </w:lvl>
    <w:lvl w:ilvl="8">
      <w:start w:val="1"/>
      <w:numFmt w:val="none"/>
      <w:suff w:val="nothing"/>
      <w:lvlText w:val=""/>
      <w:lvlJc w:val="left"/>
      <w:pPr>
        <w:ind w:left="1021" w:firstLine="0"/>
      </w:pPr>
      <w:rPr>
        <w:rFonts w:hint="default"/>
      </w:rPr>
    </w:lvl>
  </w:abstractNum>
  <w:abstractNum w:abstractNumId="9" w15:restartNumberingAfterBreak="0">
    <w:nsid w:val="34F14326"/>
    <w:multiLevelType w:val="hybridMultilevel"/>
    <w:tmpl w:val="1496246A"/>
    <w:lvl w:ilvl="0" w:tplc="5BCE5054">
      <w:start w:val="2269"/>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94E2290"/>
    <w:multiLevelType w:val="hybridMultilevel"/>
    <w:tmpl w:val="4CCCB6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A1272EB"/>
    <w:multiLevelType w:val="hybridMultilevel"/>
    <w:tmpl w:val="69CC4362"/>
    <w:lvl w:ilvl="0" w:tplc="F828BF6E">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E782F87"/>
    <w:multiLevelType w:val="hybridMultilevel"/>
    <w:tmpl w:val="928C844C"/>
    <w:lvl w:ilvl="0" w:tplc="A4E8C1C0">
      <w:start w:val="2269"/>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90E2658"/>
    <w:multiLevelType w:val="hybridMultilevel"/>
    <w:tmpl w:val="4CCCB6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07F3A4F"/>
    <w:multiLevelType w:val="hybridMultilevel"/>
    <w:tmpl w:val="62501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0ED2769"/>
    <w:multiLevelType w:val="hybridMultilevel"/>
    <w:tmpl w:val="380C9C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5FD6B4F"/>
    <w:multiLevelType w:val="multilevel"/>
    <w:tmpl w:val="A18851C8"/>
    <w:lvl w:ilvl="0">
      <w:start w:val="1"/>
      <w:numFmt w:val="decimal"/>
      <w:pStyle w:val="LegalNumber1"/>
      <w:lvlText w:val="%1.0"/>
      <w:lvlJc w:val="right"/>
      <w:pPr>
        <w:tabs>
          <w:tab w:val="num" w:pos="680"/>
        </w:tabs>
        <w:ind w:left="680" w:hanging="680"/>
      </w:pPr>
      <w:rPr>
        <w:rFonts w:hint="default"/>
      </w:rPr>
    </w:lvl>
    <w:lvl w:ilvl="1">
      <w:start w:val="1"/>
      <w:numFmt w:val="decimal"/>
      <w:pStyle w:val="LegalNumber2"/>
      <w:lvlText w:val="%1.%2"/>
      <w:lvlJc w:val="right"/>
      <w:pPr>
        <w:ind w:left="680" w:hanging="680"/>
      </w:pPr>
      <w:rPr>
        <w:rFonts w:hint="default"/>
      </w:rPr>
    </w:lvl>
    <w:lvl w:ilvl="2">
      <w:start w:val="1"/>
      <w:numFmt w:val="decimal"/>
      <w:pStyle w:val="LegalNumber3"/>
      <w:lvlText w:val="%1.%2.%3"/>
      <w:lvlJc w:val="right"/>
      <w:pPr>
        <w:ind w:left="680" w:hanging="680"/>
      </w:pPr>
      <w:rPr>
        <w:rFonts w:hint="default"/>
      </w:rPr>
    </w:lvl>
    <w:lvl w:ilvl="3">
      <w:start w:val="1"/>
      <w:numFmt w:val="decimal"/>
      <w:pStyle w:val="LegalNumber4"/>
      <w:lvlText w:val="%1.%2.%3.%4"/>
      <w:lvlJc w:val="right"/>
      <w:pPr>
        <w:ind w:left="680" w:hanging="680"/>
      </w:pPr>
      <w:rPr>
        <w:rFonts w:hint="default"/>
      </w:rPr>
    </w:lvl>
    <w:lvl w:ilvl="4">
      <w:start w:val="1"/>
      <w:numFmt w:val="decimal"/>
      <w:pStyle w:val="LegalNumber5"/>
      <w:lvlText w:val="%1.%2.%3.%4.%5"/>
      <w:lvlJc w:val="right"/>
      <w:pPr>
        <w:ind w:left="680" w:hanging="680"/>
      </w:pPr>
      <w:rPr>
        <w:rFonts w:hint="default"/>
      </w:rPr>
    </w:lvl>
    <w:lvl w:ilvl="5">
      <w:start w:val="1"/>
      <w:numFmt w:val="decimal"/>
      <w:pStyle w:val="LegalNumber6"/>
      <w:lvlText w:val="%1.%2.%3.%4.%5.%6"/>
      <w:lvlJc w:val="right"/>
      <w:pPr>
        <w:ind w:left="680" w:hanging="680"/>
      </w:pPr>
      <w:rPr>
        <w:rFonts w:hint="default"/>
      </w:rPr>
    </w:lvl>
    <w:lvl w:ilvl="6">
      <w:start w:val="1"/>
      <w:numFmt w:val="decimal"/>
      <w:lvlText w:val="%1.%2.%3.%4.%5.%6.%7"/>
      <w:lvlJc w:val="right"/>
      <w:pPr>
        <w:ind w:left="0" w:firstLine="68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7896655D"/>
    <w:multiLevelType w:val="hybridMultilevel"/>
    <w:tmpl w:val="1346C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BE72B2B"/>
    <w:multiLevelType w:val="hybridMultilevel"/>
    <w:tmpl w:val="D5EEB7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41970836">
    <w:abstractNumId w:val="4"/>
  </w:num>
  <w:num w:numId="2" w16cid:durableId="673648111">
    <w:abstractNumId w:val="4"/>
  </w:num>
  <w:num w:numId="3" w16cid:durableId="1028336454">
    <w:abstractNumId w:val="4"/>
  </w:num>
  <w:num w:numId="4" w16cid:durableId="422266458">
    <w:abstractNumId w:val="4"/>
  </w:num>
  <w:num w:numId="5" w16cid:durableId="733163904">
    <w:abstractNumId w:val="4"/>
  </w:num>
  <w:num w:numId="6" w16cid:durableId="766969389">
    <w:abstractNumId w:val="4"/>
  </w:num>
  <w:num w:numId="7" w16cid:durableId="1693264753">
    <w:abstractNumId w:val="4"/>
  </w:num>
  <w:num w:numId="8" w16cid:durableId="307519327">
    <w:abstractNumId w:val="4"/>
  </w:num>
  <w:num w:numId="9" w16cid:durableId="127975200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71745673">
    <w:abstractNumId w:val="16"/>
  </w:num>
  <w:num w:numId="11" w16cid:durableId="1214737489">
    <w:abstractNumId w:val="16"/>
  </w:num>
  <w:num w:numId="12" w16cid:durableId="923221236">
    <w:abstractNumId w:val="16"/>
  </w:num>
  <w:num w:numId="13" w16cid:durableId="1063021609">
    <w:abstractNumId w:val="16"/>
  </w:num>
  <w:num w:numId="14" w16cid:durableId="1148788068">
    <w:abstractNumId w:val="16"/>
  </w:num>
  <w:num w:numId="15" w16cid:durableId="338167784">
    <w:abstractNumId w:val="16"/>
  </w:num>
  <w:num w:numId="16" w16cid:durableId="1567298951">
    <w:abstractNumId w:val="3"/>
  </w:num>
  <w:num w:numId="17" w16cid:durableId="1873686954">
    <w:abstractNumId w:val="3"/>
  </w:num>
  <w:num w:numId="18" w16cid:durableId="1632782385">
    <w:abstractNumId w:val="3"/>
  </w:num>
  <w:num w:numId="19" w16cid:durableId="230389714">
    <w:abstractNumId w:val="3"/>
  </w:num>
  <w:num w:numId="20" w16cid:durableId="106894910">
    <w:abstractNumId w:val="3"/>
  </w:num>
  <w:num w:numId="21" w16cid:durableId="300885964">
    <w:abstractNumId w:val="10"/>
  </w:num>
  <w:num w:numId="22" w16cid:durableId="1732772826">
    <w:abstractNumId w:val="13"/>
  </w:num>
  <w:num w:numId="23" w16cid:durableId="1584995129">
    <w:abstractNumId w:val="2"/>
  </w:num>
  <w:num w:numId="24" w16cid:durableId="156922587">
    <w:abstractNumId w:val="15"/>
  </w:num>
  <w:num w:numId="25" w16cid:durableId="345715549">
    <w:abstractNumId w:val="8"/>
  </w:num>
  <w:num w:numId="26" w16cid:durableId="1657683562">
    <w:abstractNumId w:val="7"/>
  </w:num>
  <w:num w:numId="27" w16cid:durableId="1814831090">
    <w:abstractNumId w:val="6"/>
  </w:num>
  <w:num w:numId="28" w16cid:durableId="886916366">
    <w:abstractNumId w:val="14"/>
  </w:num>
  <w:num w:numId="29" w16cid:durableId="1547831775">
    <w:abstractNumId w:val="11"/>
  </w:num>
  <w:num w:numId="30" w16cid:durableId="1402216159">
    <w:abstractNumId w:val="0"/>
  </w:num>
  <w:num w:numId="31" w16cid:durableId="1556701638">
    <w:abstractNumId w:val="5"/>
  </w:num>
  <w:num w:numId="32" w16cid:durableId="648100421">
    <w:abstractNumId w:val="9"/>
  </w:num>
  <w:num w:numId="33" w16cid:durableId="72826023">
    <w:abstractNumId w:val="12"/>
  </w:num>
  <w:num w:numId="34" w16cid:durableId="1378159394">
    <w:abstractNumId w:val="18"/>
  </w:num>
  <w:num w:numId="35" w16cid:durableId="2128887287">
    <w:abstractNumId w:val="17"/>
  </w:num>
  <w:num w:numId="36" w16cid:durableId="19624197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size" w:val="Letter"/>
  </w:docVars>
  <w:rsids>
    <w:rsidRoot w:val="00836139"/>
    <w:rsid w:val="00001C2E"/>
    <w:rsid w:val="000036D2"/>
    <w:rsid w:val="00004D24"/>
    <w:rsid w:val="00004EF4"/>
    <w:rsid w:val="00013BA3"/>
    <w:rsid w:val="00013C94"/>
    <w:rsid w:val="00016CD9"/>
    <w:rsid w:val="00022D07"/>
    <w:rsid w:val="000230B0"/>
    <w:rsid w:val="00024098"/>
    <w:rsid w:val="00024806"/>
    <w:rsid w:val="00025179"/>
    <w:rsid w:val="0002525F"/>
    <w:rsid w:val="00030751"/>
    <w:rsid w:val="000313AD"/>
    <w:rsid w:val="000334E1"/>
    <w:rsid w:val="000376A1"/>
    <w:rsid w:val="0004340C"/>
    <w:rsid w:val="00045EBF"/>
    <w:rsid w:val="000505D6"/>
    <w:rsid w:val="00051FB2"/>
    <w:rsid w:val="00054520"/>
    <w:rsid w:val="00060B37"/>
    <w:rsid w:val="00062B8C"/>
    <w:rsid w:val="00063732"/>
    <w:rsid w:val="0007194A"/>
    <w:rsid w:val="00071BDC"/>
    <w:rsid w:val="00072439"/>
    <w:rsid w:val="0007272F"/>
    <w:rsid w:val="0007586D"/>
    <w:rsid w:val="00076310"/>
    <w:rsid w:val="00076740"/>
    <w:rsid w:val="00076BA9"/>
    <w:rsid w:val="0007792F"/>
    <w:rsid w:val="00081594"/>
    <w:rsid w:val="0008297E"/>
    <w:rsid w:val="00083AAB"/>
    <w:rsid w:val="00083C0F"/>
    <w:rsid w:val="00083F1B"/>
    <w:rsid w:val="00087209"/>
    <w:rsid w:val="00090F82"/>
    <w:rsid w:val="000913A6"/>
    <w:rsid w:val="000913D2"/>
    <w:rsid w:val="0009246A"/>
    <w:rsid w:val="0009436C"/>
    <w:rsid w:val="000960BC"/>
    <w:rsid w:val="000978C4"/>
    <w:rsid w:val="000A037C"/>
    <w:rsid w:val="000A0BCD"/>
    <w:rsid w:val="000A18A2"/>
    <w:rsid w:val="000A23DD"/>
    <w:rsid w:val="000A52FE"/>
    <w:rsid w:val="000C1986"/>
    <w:rsid w:val="000C1E56"/>
    <w:rsid w:val="000C2334"/>
    <w:rsid w:val="000D04FC"/>
    <w:rsid w:val="000D17D7"/>
    <w:rsid w:val="000D3747"/>
    <w:rsid w:val="000D696C"/>
    <w:rsid w:val="000E0778"/>
    <w:rsid w:val="000E0C93"/>
    <w:rsid w:val="000E22CD"/>
    <w:rsid w:val="000E278A"/>
    <w:rsid w:val="000E34E1"/>
    <w:rsid w:val="000E44AA"/>
    <w:rsid w:val="000E4945"/>
    <w:rsid w:val="000E5969"/>
    <w:rsid w:val="000E79A0"/>
    <w:rsid w:val="00100A9B"/>
    <w:rsid w:val="001022C5"/>
    <w:rsid w:val="00103085"/>
    <w:rsid w:val="00104621"/>
    <w:rsid w:val="001047D1"/>
    <w:rsid w:val="001055EE"/>
    <w:rsid w:val="00105E43"/>
    <w:rsid w:val="00106ED1"/>
    <w:rsid w:val="0011059D"/>
    <w:rsid w:val="00110DAE"/>
    <w:rsid w:val="001117A9"/>
    <w:rsid w:val="00111D5D"/>
    <w:rsid w:val="00111DB8"/>
    <w:rsid w:val="0011357B"/>
    <w:rsid w:val="0011496D"/>
    <w:rsid w:val="00116F76"/>
    <w:rsid w:val="00117285"/>
    <w:rsid w:val="0011782C"/>
    <w:rsid w:val="00117FF1"/>
    <w:rsid w:val="001206AE"/>
    <w:rsid w:val="001218E6"/>
    <w:rsid w:val="00127778"/>
    <w:rsid w:val="001305D7"/>
    <w:rsid w:val="00130716"/>
    <w:rsid w:val="00133C8E"/>
    <w:rsid w:val="001401A3"/>
    <w:rsid w:val="00140228"/>
    <w:rsid w:val="00140677"/>
    <w:rsid w:val="001426DE"/>
    <w:rsid w:val="001455EB"/>
    <w:rsid w:val="001512A9"/>
    <w:rsid w:val="001530C8"/>
    <w:rsid w:val="00154177"/>
    <w:rsid w:val="001565E1"/>
    <w:rsid w:val="001608E9"/>
    <w:rsid w:val="00163F6B"/>
    <w:rsid w:val="001660D7"/>
    <w:rsid w:val="0016718B"/>
    <w:rsid w:val="00170AE5"/>
    <w:rsid w:val="00170C43"/>
    <w:rsid w:val="00173E46"/>
    <w:rsid w:val="00174698"/>
    <w:rsid w:val="001770D0"/>
    <w:rsid w:val="00177C29"/>
    <w:rsid w:val="00181E74"/>
    <w:rsid w:val="00184FCC"/>
    <w:rsid w:val="00185544"/>
    <w:rsid w:val="00186E25"/>
    <w:rsid w:val="00187888"/>
    <w:rsid w:val="00187C20"/>
    <w:rsid w:val="0019076E"/>
    <w:rsid w:val="00192C8E"/>
    <w:rsid w:val="0019425A"/>
    <w:rsid w:val="00196064"/>
    <w:rsid w:val="0019688B"/>
    <w:rsid w:val="00196B53"/>
    <w:rsid w:val="001A203D"/>
    <w:rsid w:val="001A266E"/>
    <w:rsid w:val="001A4B3F"/>
    <w:rsid w:val="001A54D7"/>
    <w:rsid w:val="001A7050"/>
    <w:rsid w:val="001B2BC8"/>
    <w:rsid w:val="001C0396"/>
    <w:rsid w:val="001C0F86"/>
    <w:rsid w:val="001C2B67"/>
    <w:rsid w:val="001C514F"/>
    <w:rsid w:val="001C69D0"/>
    <w:rsid w:val="001C7CE3"/>
    <w:rsid w:val="001D0299"/>
    <w:rsid w:val="001D3447"/>
    <w:rsid w:val="001D7E55"/>
    <w:rsid w:val="001E0884"/>
    <w:rsid w:val="001E1AF3"/>
    <w:rsid w:val="001E4000"/>
    <w:rsid w:val="001F4C4C"/>
    <w:rsid w:val="001F6122"/>
    <w:rsid w:val="00201346"/>
    <w:rsid w:val="002051B5"/>
    <w:rsid w:val="0021545E"/>
    <w:rsid w:val="00217C23"/>
    <w:rsid w:val="00226F35"/>
    <w:rsid w:val="002311F9"/>
    <w:rsid w:val="00233A00"/>
    <w:rsid w:val="00234DE9"/>
    <w:rsid w:val="00240BEF"/>
    <w:rsid w:val="0024325C"/>
    <w:rsid w:val="0024359C"/>
    <w:rsid w:val="002451C0"/>
    <w:rsid w:val="00246BA1"/>
    <w:rsid w:val="0025261D"/>
    <w:rsid w:val="00254589"/>
    <w:rsid w:val="00256195"/>
    <w:rsid w:val="00260A0C"/>
    <w:rsid w:val="00262B63"/>
    <w:rsid w:val="00262E2F"/>
    <w:rsid w:val="002631CA"/>
    <w:rsid w:val="0027790C"/>
    <w:rsid w:val="00277EB3"/>
    <w:rsid w:val="00281FF5"/>
    <w:rsid w:val="002823E6"/>
    <w:rsid w:val="002879C9"/>
    <w:rsid w:val="0029003B"/>
    <w:rsid w:val="00290927"/>
    <w:rsid w:val="002942ED"/>
    <w:rsid w:val="00296457"/>
    <w:rsid w:val="002A0517"/>
    <w:rsid w:val="002A541A"/>
    <w:rsid w:val="002A54B1"/>
    <w:rsid w:val="002B215B"/>
    <w:rsid w:val="002B3A7D"/>
    <w:rsid w:val="002B40AE"/>
    <w:rsid w:val="002B583A"/>
    <w:rsid w:val="002B5C9A"/>
    <w:rsid w:val="002B6227"/>
    <w:rsid w:val="002B656C"/>
    <w:rsid w:val="002B723E"/>
    <w:rsid w:val="002C1501"/>
    <w:rsid w:val="002C1F82"/>
    <w:rsid w:val="002D0F5B"/>
    <w:rsid w:val="002D1CDF"/>
    <w:rsid w:val="002D2D45"/>
    <w:rsid w:val="002D6B51"/>
    <w:rsid w:val="002E240A"/>
    <w:rsid w:val="002E2636"/>
    <w:rsid w:val="002E2D81"/>
    <w:rsid w:val="002E3E3D"/>
    <w:rsid w:val="002E4B6E"/>
    <w:rsid w:val="002E7219"/>
    <w:rsid w:val="002E7504"/>
    <w:rsid w:val="002F3164"/>
    <w:rsid w:val="002F41EF"/>
    <w:rsid w:val="00301364"/>
    <w:rsid w:val="00302058"/>
    <w:rsid w:val="00306D05"/>
    <w:rsid w:val="00307B54"/>
    <w:rsid w:val="00313E4A"/>
    <w:rsid w:val="0031407A"/>
    <w:rsid w:val="0031417E"/>
    <w:rsid w:val="00317EB4"/>
    <w:rsid w:val="00324EA7"/>
    <w:rsid w:val="0033117D"/>
    <w:rsid w:val="00334B73"/>
    <w:rsid w:val="00334FD7"/>
    <w:rsid w:val="003362B3"/>
    <w:rsid w:val="0034137C"/>
    <w:rsid w:val="00341D09"/>
    <w:rsid w:val="00342276"/>
    <w:rsid w:val="00342359"/>
    <w:rsid w:val="00345A3F"/>
    <w:rsid w:val="00347A2D"/>
    <w:rsid w:val="003507D9"/>
    <w:rsid w:val="003548A3"/>
    <w:rsid w:val="0035643C"/>
    <w:rsid w:val="00360764"/>
    <w:rsid w:val="00360B20"/>
    <w:rsid w:val="003621EB"/>
    <w:rsid w:val="00362F1E"/>
    <w:rsid w:val="00365743"/>
    <w:rsid w:val="00365781"/>
    <w:rsid w:val="00366FD6"/>
    <w:rsid w:val="00371A52"/>
    <w:rsid w:val="00371E53"/>
    <w:rsid w:val="00373E35"/>
    <w:rsid w:val="00377579"/>
    <w:rsid w:val="00381B12"/>
    <w:rsid w:val="00385FA0"/>
    <w:rsid w:val="003909CF"/>
    <w:rsid w:val="00390BE0"/>
    <w:rsid w:val="00392635"/>
    <w:rsid w:val="003A1DEC"/>
    <w:rsid w:val="003A2C79"/>
    <w:rsid w:val="003A5E17"/>
    <w:rsid w:val="003A5EDF"/>
    <w:rsid w:val="003B10D3"/>
    <w:rsid w:val="003B1EAF"/>
    <w:rsid w:val="003B60C1"/>
    <w:rsid w:val="003B7957"/>
    <w:rsid w:val="003C2637"/>
    <w:rsid w:val="003C5B70"/>
    <w:rsid w:val="003C6EDC"/>
    <w:rsid w:val="003D2561"/>
    <w:rsid w:val="003D5F8B"/>
    <w:rsid w:val="003D7993"/>
    <w:rsid w:val="003E043E"/>
    <w:rsid w:val="003E274E"/>
    <w:rsid w:val="003E6CC3"/>
    <w:rsid w:val="003E769D"/>
    <w:rsid w:val="003F3626"/>
    <w:rsid w:val="003F3CCC"/>
    <w:rsid w:val="003F6FCE"/>
    <w:rsid w:val="00400DFE"/>
    <w:rsid w:val="004012CC"/>
    <w:rsid w:val="0040467E"/>
    <w:rsid w:val="004046E1"/>
    <w:rsid w:val="00410A2A"/>
    <w:rsid w:val="00414045"/>
    <w:rsid w:val="004141EB"/>
    <w:rsid w:val="004153C2"/>
    <w:rsid w:val="004207C2"/>
    <w:rsid w:val="00421CA5"/>
    <w:rsid w:val="00421DC7"/>
    <w:rsid w:val="0042233F"/>
    <w:rsid w:val="00425E13"/>
    <w:rsid w:val="00426474"/>
    <w:rsid w:val="0042697D"/>
    <w:rsid w:val="00436194"/>
    <w:rsid w:val="004363C1"/>
    <w:rsid w:val="00440674"/>
    <w:rsid w:val="00442C8B"/>
    <w:rsid w:val="00444001"/>
    <w:rsid w:val="00444823"/>
    <w:rsid w:val="00447716"/>
    <w:rsid w:val="0045303A"/>
    <w:rsid w:val="00453F26"/>
    <w:rsid w:val="00457634"/>
    <w:rsid w:val="00461017"/>
    <w:rsid w:val="0046289F"/>
    <w:rsid w:val="004628EB"/>
    <w:rsid w:val="00463283"/>
    <w:rsid w:val="004723B8"/>
    <w:rsid w:val="00474E8C"/>
    <w:rsid w:val="00475296"/>
    <w:rsid w:val="00481113"/>
    <w:rsid w:val="00483ACE"/>
    <w:rsid w:val="004A2646"/>
    <w:rsid w:val="004A2A7E"/>
    <w:rsid w:val="004A3940"/>
    <w:rsid w:val="004B32E3"/>
    <w:rsid w:val="004B3EB3"/>
    <w:rsid w:val="004B455E"/>
    <w:rsid w:val="004C039C"/>
    <w:rsid w:val="004C3656"/>
    <w:rsid w:val="004C3A09"/>
    <w:rsid w:val="004C3B73"/>
    <w:rsid w:val="004C4C44"/>
    <w:rsid w:val="004D12CB"/>
    <w:rsid w:val="004D1FF7"/>
    <w:rsid w:val="004D2047"/>
    <w:rsid w:val="004D3E04"/>
    <w:rsid w:val="004E0C75"/>
    <w:rsid w:val="004E1494"/>
    <w:rsid w:val="004E6A5D"/>
    <w:rsid w:val="00503D2B"/>
    <w:rsid w:val="005042D0"/>
    <w:rsid w:val="00506A12"/>
    <w:rsid w:val="0050780F"/>
    <w:rsid w:val="00507E55"/>
    <w:rsid w:val="00510ADF"/>
    <w:rsid w:val="00514857"/>
    <w:rsid w:val="00514F1F"/>
    <w:rsid w:val="00515454"/>
    <w:rsid w:val="005175BE"/>
    <w:rsid w:val="005234FE"/>
    <w:rsid w:val="00524BB8"/>
    <w:rsid w:val="005308DF"/>
    <w:rsid w:val="00530D3C"/>
    <w:rsid w:val="00531F65"/>
    <w:rsid w:val="005358B1"/>
    <w:rsid w:val="00537B73"/>
    <w:rsid w:val="00545328"/>
    <w:rsid w:val="00546C7B"/>
    <w:rsid w:val="0054786F"/>
    <w:rsid w:val="00551A6C"/>
    <w:rsid w:val="00552225"/>
    <w:rsid w:val="0055308A"/>
    <w:rsid w:val="0056181A"/>
    <w:rsid w:val="00562848"/>
    <w:rsid w:val="005628DA"/>
    <w:rsid w:val="00563DAD"/>
    <w:rsid w:val="005647F5"/>
    <w:rsid w:val="00571EFE"/>
    <w:rsid w:val="00573C92"/>
    <w:rsid w:val="0057613A"/>
    <w:rsid w:val="00580BFB"/>
    <w:rsid w:val="005857B5"/>
    <w:rsid w:val="005863AF"/>
    <w:rsid w:val="00594B9A"/>
    <w:rsid w:val="00594C24"/>
    <w:rsid w:val="005967CD"/>
    <w:rsid w:val="005A1506"/>
    <w:rsid w:val="005A425C"/>
    <w:rsid w:val="005A4A00"/>
    <w:rsid w:val="005B71B8"/>
    <w:rsid w:val="005C0569"/>
    <w:rsid w:val="005C33D6"/>
    <w:rsid w:val="005C7AB6"/>
    <w:rsid w:val="005D3A15"/>
    <w:rsid w:val="005D5164"/>
    <w:rsid w:val="005D5B25"/>
    <w:rsid w:val="005D70C6"/>
    <w:rsid w:val="005D7689"/>
    <w:rsid w:val="005E11AD"/>
    <w:rsid w:val="005E1529"/>
    <w:rsid w:val="005E2DB8"/>
    <w:rsid w:val="005E334E"/>
    <w:rsid w:val="005E3CC5"/>
    <w:rsid w:val="005E5913"/>
    <w:rsid w:val="005F1C26"/>
    <w:rsid w:val="005F3CFF"/>
    <w:rsid w:val="005F3D56"/>
    <w:rsid w:val="005F4399"/>
    <w:rsid w:val="005F49C9"/>
    <w:rsid w:val="005F63CF"/>
    <w:rsid w:val="005F7574"/>
    <w:rsid w:val="005F7FA1"/>
    <w:rsid w:val="00601C0F"/>
    <w:rsid w:val="00604120"/>
    <w:rsid w:val="0062131B"/>
    <w:rsid w:val="00622400"/>
    <w:rsid w:val="00622D01"/>
    <w:rsid w:val="00622D23"/>
    <w:rsid w:val="00625583"/>
    <w:rsid w:val="00630F5C"/>
    <w:rsid w:val="00642F6B"/>
    <w:rsid w:val="006430E3"/>
    <w:rsid w:val="00643C7F"/>
    <w:rsid w:val="00650747"/>
    <w:rsid w:val="00651E27"/>
    <w:rsid w:val="00653AB5"/>
    <w:rsid w:val="00656A7F"/>
    <w:rsid w:val="00657718"/>
    <w:rsid w:val="00666387"/>
    <w:rsid w:val="006663B8"/>
    <w:rsid w:val="00667100"/>
    <w:rsid w:val="0066739F"/>
    <w:rsid w:val="00670BAD"/>
    <w:rsid w:val="00672673"/>
    <w:rsid w:val="0067559E"/>
    <w:rsid w:val="00683441"/>
    <w:rsid w:val="0068388B"/>
    <w:rsid w:val="0068562C"/>
    <w:rsid w:val="00687826"/>
    <w:rsid w:val="00693E7F"/>
    <w:rsid w:val="00694590"/>
    <w:rsid w:val="00695C21"/>
    <w:rsid w:val="00696BAA"/>
    <w:rsid w:val="006A1129"/>
    <w:rsid w:val="006A1969"/>
    <w:rsid w:val="006A1C3A"/>
    <w:rsid w:val="006A2A5D"/>
    <w:rsid w:val="006A542D"/>
    <w:rsid w:val="006B1984"/>
    <w:rsid w:val="006B3C3E"/>
    <w:rsid w:val="006B6DA4"/>
    <w:rsid w:val="006C175B"/>
    <w:rsid w:val="006C1826"/>
    <w:rsid w:val="006C2F8C"/>
    <w:rsid w:val="006C30AA"/>
    <w:rsid w:val="006C37DE"/>
    <w:rsid w:val="006C3C59"/>
    <w:rsid w:val="006C45F2"/>
    <w:rsid w:val="006C5872"/>
    <w:rsid w:val="006C6ED4"/>
    <w:rsid w:val="006C6F59"/>
    <w:rsid w:val="006D115C"/>
    <w:rsid w:val="006D5274"/>
    <w:rsid w:val="006D533B"/>
    <w:rsid w:val="006D7EED"/>
    <w:rsid w:val="006E216E"/>
    <w:rsid w:val="006E3226"/>
    <w:rsid w:val="006E42A0"/>
    <w:rsid w:val="006E686A"/>
    <w:rsid w:val="006E7788"/>
    <w:rsid w:val="006F0D14"/>
    <w:rsid w:val="006F499A"/>
    <w:rsid w:val="006F5176"/>
    <w:rsid w:val="006F5863"/>
    <w:rsid w:val="00701197"/>
    <w:rsid w:val="00702DFB"/>
    <w:rsid w:val="00704FE9"/>
    <w:rsid w:val="007105C6"/>
    <w:rsid w:val="00717438"/>
    <w:rsid w:val="00726579"/>
    <w:rsid w:val="00726B30"/>
    <w:rsid w:val="007308DA"/>
    <w:rsid w:val="00731809"/>
    <w:rsid w:val="007325BC"/>
    <w:rsid w:val="00741BDA"/>
    <w:rsid w:val="00750574"/>
    <w:rsid w:val="00757F7D"/>
    <w:rsid w:val="0076141E"/>
    <w:rsid w:val="007653E2"/>
    <w:rsid w:val="00773FD3"/>
    <w:rsid w:val="00775334"/>
    <w:rsid w:val="00777F14"/>
    <w:rsid w:val="007804C0"/>
    <w:rsid w:val="00787F90"/>
    <w:rsid w:val="00790D2B"/>
    <w:rsid w:val="00796E00"/>
    <w:rsid w:val="007A2408"/>
    <w:rsid w:val="007A2458"/>
    <w:rsid w:val="007A29C5"/>
    <w:rsid w:val="007A762A"/>
    <w:rsid w:val="007B181F"/>
    <w:rsid w:val="007C0716"/>
    <w:rsid w:val="007C0FC3"/>
    <w:rsid w:val="007C1B45"/>
    <w:rsid w:val="007C20AC"/>
    <w:rsid w:val="007C3280"/>
    <w:rsid w:val="007C45E0"/>
    <w:rsid w:val="007C4D9C"/>
    <w:rsid w:val="007C6A86"/>
    <w:rsid w:val="007D03FF"/>
    <w:rsid w:val="007D0557"/>
    <w:rsid w:val="007D1232"/>
    <w:rsid w:val="007D14BF"/>
    <w:rsid w:val="007D3288"/>
    <w:rsid w:val="007D6697"/>
    <w:rsid w:val="007D6D5B"/>
    <w:rsid w:val="007D707A"/>
    <w:rsid w:val="007D7212"/>
    <w:rsid w:val="007D76D9"/>
    <w:rsid w:val="007E4533"/>
    <w:rsid w:val="007E49EA"/>
    <w:rsid w:val="007E642A"/>
    <w:rsid w:val="007E7F6F"/>
    <w:rsid w:val="007F5C54"/>
    <w:rsid w:val="00802A7F"/>
    <w:rsid w:val="00803ED8"/>
    <w:rsid w:val="00806FEF"/>
    <w:rsid w:val="00807E02"/>
    <w:rsid w:val="008124F1"/>
    <w:rsid w:val="00816C49"/>
    <w:rsid w:val="0082245C"/>
    <w:rsid w:val="008240A8"/>
    <w:rsid w:val="00831216"/>
    <w:rsid w:val="00832E35"/>
    <w:rsid w:val="00834753"/>
    <w:rsid w:val="00836139"/>
    <w:rsid w:val="008370DF"/>
    <w:rsid w:val="008458E3"/>
    <w:rsid w:val="0085048A"/>
    <w:rsid w:val="00854A52"/>
    <w:rsid w:val="00861AF8"/>
    <w:rsid w:val="008648F5"/>
    <w:rsid w:val="008655CD"/>
    <w:rsid w:val="00870262"/>
    <w:rsid w:val="0087119C"/>
    <w:rsid w:val="008711B4"/>
    <w:rsid w:val="0087202E"/>
    <w:rsid w:val="00874C0C"/>
    <w:rsid w:val="00876C4D"/>
    <w:rsid w:val="00877AEE"/>
    <w:rsid w:val="00880985"/>
    <w:rsid w:val="008842E6"/>
    <w:rsid w:val="0088496F"/>
    <w:rsid w:val="008A2081"/>
    <w:rsid w:val="008B054B"/>
    <w:rsid w:val="008B77A4"/>
    <w:rsid w:val="008B77F1"/>
    <w:rsid w:val="008C0BB4"/>
    <w:rsid w:val="008C2780"/>
    <w:rsid w:val="008C36CF"/>
    <w:rsid w:val="008D1794"/>
    <w:rsid w:val="008D602D"/>
    <w:rsid w:val="008D68A0"/>
    <w:rsid w:val="008E047A"/>
    <w:rsid w:val="008E210C"/>
    <w:rsid w:val="008E293A"/>
    <w:rsid w:val="008E44BD"/>
    <w:rsid w:val="008E477C"/>
    <w:rsid w:val="008E5F99"/>
    <w:rsid w:val="008F2586"/>
    <w:rsid w:val="008F26B4"/>
    <w:rsid w:val="008F5DCD"/>
    <w:rsid w:val="0090128E"/>
    <w:rsid w:val="00903E59"/>
    <w:rsid w:val="009100CD"/>
    <w:rsid w:val="009109E2"/>
    <w:rsid w:val="00914D0E"/>
    <w:rsid w:val="00914F3A"/>
    <w:rsid w:val="0091775A"/>
    <w:rsid w:val="00923787"/>
    <w:rsid w:val="009239FF"/>
    <w:rsid w:val="00924132"/>
    <w:rsid w:val="00924FA2"/>
    <w:rsid w:val="00927A6E"/>
    <w:rsid w:val="00935476"/>
    <w:rsid w:val="00942B58"/>
    <w:rsid w:val="00943411"/>
    <w:rsid w:val="00945FA2"/>
    <w:rsid w:val="00946B13"/>
    <w:rsid w:val="00946B64"/>
    <w:rsid w:val="00950C99"/>
    <w:rsid w:val="009538AB"/>
    <w:rsid w:val="00953D65"/>
    <w:rsid w:val="00954F62"/>
    <w:rsid w:val="00960470"/>
    <w:rsid w:val="009612AB"/>
    <w:rsid w:val="00961442"/>
    <w:rsid w:val="009619F2"/>
    <w:rsid w:val="00962670"/>
    <w:rsid w:val="009642BE"/>
    <w:rsid w:val="00964B53"/>
    <w:rsid w:val="0096681E"/>
    <w:rsid w:val="00967AB0"/>
    <w:rsid w:val="00971040"/>
    <w:rsid w:val="00971DF5"/>
    <w:rsid w:val="0097289F"/>
    <w:rsid w:val="00985F71"/>
    <w:rsid w:val="00990554"/>
    <w:rsid w:val="009A1CA6"/>
    <w:rsid w:val="009A1FA7"/>
    <w:rsid w:val="009A2F24"/>
    <w:rsid w:val="009A4ADE"/>
    <w:rsid w:val="009A5524"/>
    <w:rsid w:val="009B6303"/>
    <w:rsid w:val="009B78AA"/>
    <w:rsid w:val="009B7F0C"/>
    <w:rsid w:val="009C3707"/>
    <w:rsid w:val="009C48D2"/>
    <w:rsid w:val="009C5B55"/>
    <w:rsid w:val="009C6413"/>
    <w:rsid w:val="009D0770"/>
    <w:rsid w:val="009D19FA"/>
    <w:rsid w:val="009D1C8B"/>
    <w:rsid w:val="009D344B"/>
    <w:rsid w:val="009D4A88"/>
    <w:rsid w:val="009D6038"/>
    <w:rsid w:val="009D77E5"/>
    <w:rsid w:val="009D7F9C"/>
    <w:rsid w:val="009E0FA7"/>
    <w:rsid w:val="009E2016"/>
    <w:rsid w:val="009E5172"/>
    <w:rsid w:val="009F7190"/>
    <w:rsid w:val="00A019E7"/>
    <w:rsid w:val="00A03746"/>
    <w:rsid w:val="00A063E9"/>
    <w:rsid w:val="00A0753A"/>
    <w:rsid w:val="00A23CA1"/>
    <w:rsid w:val="00A25A06"/>
    <w:rsid w:val="00A264D1"/>
    <w:rsid w:val="00A26772"/>
    <w:rsid w:val="00A275B5"/>
    <w:rsid w:val="00A318F9"/>
    <w:rsid w:val="00A345F5"/>
    <w:rsid w:val="00A35278"/>
    <w:rsid w:val="00A35AD8"/>
    <w:rsid w:val="00A36BF9"/>
    <w:rsid w:val="00A402A6"/>
    <w:rsid w:val="00A408AB"/>
    <w:rsid w:val="00A467B7"/>
    <w:rsid w:val="00A46A91"/>
    <w:rsid w:val="00A52C6A"/>
    <w:rsid w:val="00A53368"/>
    <w:rsid w:val="00A53865"/>
    <w:rsid w:val="00A544E6"/>
    <w:rsid w:val="00A573B2"/>
    <w:rsid w:val="00A6613E"/>
    <w:rsid w:val="00A6614E"/>
    <w:rsid w:val="00A664B1"/>
    <w:rsid w:val="00A6675A"/>
    <w:rsid w:val="00A72CB4"/>
    <w:rsid w:val="00A730A8"/>
    <w:rsid w:val="00A76A86"/>
    <w:rsid w:val="00A777FD"/>
    <w:rsid w:val="00A81444"/>
    <w:rsid w:val="00A85B01"/>
    <w:rsid w:val="00A85CAF"/>
    <w:rsid w:val="00A94309"/>
    <w:rsid w:val="00A94D01"/>
    <w:rsid w:val="00A957DC"/>
    <w:rsid w:val="00AA0172"/>
    <w:rsid w:val="00AA01D8"/>
    <w:rsid w:val="00AA02FF"/>
    <w:rsid w:val="00AA4F53"/>
    <w:rsid w:val="00AB1018"/>
    <w:rsid w:val="00AB1334"/>
    <w:rsid w:val="00AB3665"/>
    <w:rsid w:val="00AB6343"/>
    <w:rsid w:val="00AB7262"/>
    <w:rsid w:val="00AC3365"/>
    <w:rsid w:val="00AC6FE9"/>
    <w:rsid w:val="00AC7B3A"/>
    <w:rsid w:val="00AD1CF3"/>
    <w:rsid w:val="00AD3771"/>
    <w:rsid w:val="00AD5834"/>
    <w:rsid w:val="00AD6086"/>
    <w:rsid w:val="00AD72C9"/>
    <w:rsid w:val="00AE05C3"/>
    <w:rsid w:val="00AE18BD"/>
    <w:rsid w:val="00AE35F9"/>
    <w:rsid w:val="00AE40F7"/>
    <w:rsid w:val="00AE4BFF"/>
    <w:rsid w:val="00AE56E0"/>
    <w:rsid w:val="00AF127C"/>
    <w:rsid w:val="00AF293A"/>
    <w:rsid w:val="00AF5BE2"/>
    <w:rsid w:val="00AF6FBF"/>
    <w:rsid w:val="00B0714F"/>
    <w:rsid w:val="00B07565"/>
    <w:rsid w:val="00B07D8B"/>
    <w:rsid w:val="00B134F0"/>
    <w:rsid w:val="00B13D67"/>
    <w:rsid w:val="00B1490E"/>
    <w:rsid w:val="00B16C0F"/>
    <w:rsid w:val="00B21580"/>
    <w:rsid w:val="00B2337E"/>
    <w:rsid w:val="00B31102"/>
    <w:rsid w:val="00B3263F"/>
    <w:rsid w:val="00B34385"/>
    <w:rsid w:val="00B34DD8"/>
    <w:rsid w:val="00B36101"/>
    <w:rsid w:val="00B40A67"/>
    <w:rsid w:val="00B4510D"/>
    <w:rsid w:val="00B4592C"/>
    <w:rsid w:val="00B46030"/>
    <w:rsid w:val="00B4770C"/>
    <w:rsid w:val="00B5465D"/>
    <w:rsid w:val="00B554C5"/>
    <w:rsid w:val="00B565CC"/>
    <w:rsid w:val="00B579EC"/>
    <w:rsid w:val="00B6038E"/>
    <w:rsid w:val="00B6468F"/>
    <w:rsid w:val="00B64961"/>
    <w:rsid w:val="00B64BBC"/>
    <w:rsid w:val="00B663F0"/>
    <w:rsid w:val="00B70C0F"/>
    <w:rsid w:val="00B7201D"/>
    <w:rsid w:val="00B741FA"/>
    <w:rsid w:val="00B743BF"/>
    <w:rsid w:val="00B77479"/>
    <w:rsid w:val="00B81DD7"/>
    <w:rsid w:val="00B81DF2"/>
    <w:rsid w:val="00B82646"/>
    <w:rsid w:val="00B84913"/>
    <w:rsid w:val="00B84FC2"/>
    <w:rsid w:val="00B8577D"/>
    <w:rsid w:val="00B8667E"/>
    <w:rsid w:val="00B87827"/>
    <w:rsid w:val="00B91131"/>
    <w:rsid w:val="00B94088"/>
    <w:rsid w:val="00B94A45"/>
    <w:rsid w:val="00B950C3"/>
    <w:rsid w:val="00B976F9"/>
    <w:rsid w:val="00BA035D"/>
    <w:rsid w:val="00BA1483"/>
    <w:rsid w:val="00BA14F8"/>
    <w:rsid w:val="00BA446C"/>
    <w:rsid w:val="00BA6E7B"/>
    <w:rsid w:val="00BB0699"/>
    <w:rsid w:val="00BB0DF2"/>
    <w:rsid w:val="00BB3934"/>
    <w:rsid w:val="00BB4617"/>
    <w:rsid w:val="00BB585A"/>
    <w:rsid w:val="00BB6B89"/>
    <w:rsid w:val="00BB6F0F"/>
    <w:rsid w:val="00BC5583"/>
    <w:rsid w:val="00BE2EA0"/>
    <w:rsid w:val="00BE2ED2"/>
    <w:rsid w:val="00BE3FE7"/>
    <w:rsid w:val="00BE624E"/>
    <w:rsid w:val="00BF6E05"/>
    <w:rsid w:val="00C01C43"/>
    <w:rsid w:val="00C02782"/>
    <w:rsid w:val="00C21A50"/>
    <w:rsid w:val="00C25827"/>
    <w:rsid w:val="00C264B7"/>
    <w:rsid w:val="00C321DD"/>
    <w:rsid w:val="00C33439"/>
    <w:rsid w:val="00C34122"/>
    <w:rsid w:val="00C34364"/>
    <w:rsid w:val="00C37A8B"/>
    <w:rsid w:val="00C41E92"/>
    <w:rsid w:val="00C446CA"/>
    <w:rsid w:val="00C555B1"/>
    <w:rsid w:val="00C56EDF"/>
    <w:rsid w:val="00C61FB3"/>
    <w:rsid w:val="00C639EF"/>
    <w:rsid w:val="00C6485B"/>
    <w:rsid w:val="00C6541C"/>
    <w:rsid w:val="00C7011B"/>
    <w:rsid w:val="00C70256"/>
    <w:rsid w:val="00C72E63"/>
    <w:rsid w:val="00C75BA2"/>
    <w:rsid w:val="00C7621E"/>
    <w:rsid w:val="00C80163"/>
    <w:rsid w:val="00C80251"/>
    <w:rsid w:val="00C8236C"/>
    <w:rsid w:val="00C831D2"/>
    <w:rsid w:val="00C84106"/>
    <w:rsid w:val="00C84EB9"/>
    <w:rsid w:val="00C852EC"/>
    <w:rsid w:val="00C85791"/>
    <w:rsid w:val="00C85F4D"/>
    <w:rsid w:val="00C934CA"/>
    <w:rsid w:val="00CA2615"/>
    <w:rsid w:val="00CA5FBF"/>
    <w:rsid w:val="00CA6EC5"/>
    <w:rsid w:val="00CB5E2B"/>
    <w:rsid w:val="00CC1B82"/>
    <w:rsid w:val="00CC21C1"/>
    <w:rsid w:val="00CC3759"/>
    <w:rsid w:val="00CD0AB4"/>
    <w:rsid w:val="00CD3596"/>
    <w:rsid w:val="00CD501D"/>
    <w:rsid w:val="00CD5BB8"/>
    <w:rsid w:val="00CE5A14"/>
    <w:rsid w:val="00CE6DA2"/>
    <w:rsid w:val="00CE7A34"/>
    <w:rsid w:val="00CF27CC"/>
    <w:rsid w:val="00CF33CA"/>
    <w:rsid w:val="00CF7CDD"/>
    <w:rsid w:val="00D004B8"/>
    <w:rsid w:val="00D057F6"/>
    <w:rsid w:val="00D10891"/>
    <w:rsid w:val="00D14797"/>
    <w:rsid w:val="00D15C23"/>
    <w:rsid w:val="00D16563"/>
    <w:rsid w:val="00D30538"/>
    <w:rsid w:val="00D30D32"/>
    <w:rsid w:val="00D33961"/>
    <w:rsid w:val="00D37AAB"/>
    <w:rsid w:val="00D40220"/>
    <w:rsid w:val="00D40221"/>
    <w:rsid w:val="00D42347"/>
    <w:rsid w:val="00D42971"/>
    <w:rsid w:val="00D45700"/>
    <w:rsid w:val="00D46753"/>
    <w:rsid w:val="00D51CE6"/>
    <w:rsid w:val="00D53451"/>
    <w:rsid w:val="00D541A2"/>
    <w:rsid w:val="00D622A9"/>
    <w:rsid w:val="00D63DA5"/>
    <w:rsid w:val="00D65C1E"/>
    <w:rsid w:val="00D66047"/>
    <w:rsid w:val="00D66BA2"/>
    <w:rsid w:val="00D7158C"/>
    <w:rsid w:val="00D71B73"/>
    <w:rsid w:val="00D73D7E"/>
    <w:rsid w:val="00D7598B"/>
    <w:rsid w:val="00D76ED3"/>
    <w:rsid w:val="00D800EB"/>
    <w:rsid w:val="00D82A03"/>
    <w:rsid w:val="00D82E9B"/>
    <w:rsid w:val="00D84DA1"/>
    <w:rsid w:val="00D867FC"/>
    <w:rsid w:val="00D8758C"/>
    <w:rsid w:val="00D92708"/>
    <w:rsid w:val="00D93D54"/>
    <w:rsid w:val="00DA3818"/>
    <w:rsid w:val="00DA3ECA"/>
    <w:rsid w:val="00DB1941"/>
    <w:rsid w:val="00DB6429"/>
    <w:rsid w:val="00DC13A5"/>
    <w:rsid w:val="00DC1CF2"/>
    <w:rsid w:val="00DC4C49"/>
    <w:rsid w:val="00DC4F77"/>
    <w:rsid w:val="00DC6E3C"/>
    <w:rsid w:val="00DD68E6"/>
    <w:rsid w:val="00DF3200"/>
    <w:rsid w:val="00DF3910"/>
    <w:rsid w:val="00DF5B93"/>
    <w:rsid w:val="00E008D5"/>
    <w:rsid w:val="00E029BF"/>
    <w:rsid w:val="00E03E73"/>
    <w:rsid w:val="00E1048F"/>
    <w:rsid w:val="00E104F5"/>
    <w:rsid w:val="00E1287B"/>
    <w:rsid w:val="00E13684"/>
    <w:rsid w:val="00E137FC"/>
    <w:rsid w:val="00E14D85"/>
    <w:rsid w:val="00E1520B"/>
    <w:rsid w:val="00E20539"/>
    <w:rsid w:val="00E2315E"/>
    <w:rsid w:val="00E23B53"/>
    <w:rsid w:val="00E249D0"/>
    <w:rsid w:val="00E25531"/>
    <w:rsid w:val="00E25599"/>
    <w:rsid w:val="00E3147C"/>
    <w:rsid w:val="00E3548D"/>
    <w:rsid w:val="00E35AD4"/>
    <w:rsid w:val="00E364A7"/>
    <w:rsid w:val="00E42047"/>
    <w:rsid w:val="00E44349"/>
    <w:rsid w:val="00E47293"/>
    <w:rsid w:val="00E51E71"/>
    <w:rsid w:val="00E54611"/>
    <w:rsid w:val="00E558B2"/>
    <w:rsid w:val="00E55AFC"/>
    <w:rsid w:val="00E57B29"/>
    <w:rsid w:val="00E603FC"/>
    <w:rsid w:val="00E61362"/>
    <w:rsid w:val="00E63AC6"/>
    <w:rsid w:val="00E66EF5"/>
    <w:rsid w:val="00E861EB"/>
    <w:rsid w:val="00E94EEC"/>
    <w:rsid w:val="00E9638F"/>
    <w:rsid w:val="00E969B0"/>
    <w:rsid w:val="00E972DC"/>
    <w:rsid w:val="00E9786A"/>
    <w:rsid w:val="00EA0C4D"/>
    <w:rsid w:val="00EA1DEF"/>
    <w:rsid w:val="00EA2D30"/>
    <w:rsid w:val="00EA5F5D"/>
    <w:rsid w:val="00EA7C96"/>
    <w:rsid w:val="00EB04D1"/>
    <w:rsid w:val="00EB1256"/>
    <w:rsid w:val="00EB1830"/>
    <w:rsid w:val="00EB4DEF"/>
    <w:rsid w:val="00EC052C"/>
    <w:rsid w:val="00EC09DD"/>
    <w:rsid w:val="00EC1382"/>
    <w:rsid w:val="00EC164C"/>
    <w:rsid w:val="00EC4D16"/>
    <w:rsid w:val="00EC5B73"/>
    <w:rsid w:val="00EC6CAC"/>
    <w:rsid w:val="00EC6E86"/>
    <w:rsid w:val="00EC7008"/>
    <w:rsid w:val="00ED12D6"/>
    <w:rsid w:val="00ED57A8"/>
    <w:rsid w:val="00ED6148"/>
    <w:rsid w:val="00EE0E62"/>
    <w:rsid w:val="00EE23BA"/>
    <w:rsid w:val="00EE3151"/>
    <w:rsid w:val="00EE3919"/>
    <w:rsid w:val="00EE446B"/>
    <w:rsid w:val="00EF2AC7"/>
    <w:rsid w:val="00EF380E"/>
    <w:rsid w:val="00EF4F01"/>
    <w:rsid w:val="00EF568F"/>
    <w:rsid w:val="00EF668F"/>
    <w:rsid w:val="00EF7B9B"/>
    <w:rsid w:val="00EF7FDB"/>
    <w:rsid w:val="00F02577"/>
    <w:rsid w:val="00F04A01"/>
    <w:rsid w:val="00F066AE"/>
    <w:rsid w:val="00F102F0"/>
    <w:rsid w:val="00F11FF6"/>
    <w:rsid w:val="00F1268B"/>
    <w:rsid w:val="00F12A3B"/>
    <w:rsid w:val="00F14C47"/>
    <w:rsid w:val="00F16EA1"/>
    <w:rsid w:val="00F2294C"/>
    <w:rsid w:val="00F2362B"/>
    <w:rsid w:val="00F2506E"/>
    <w:rsid w:val="00F31125"/>
    <w:rsid w:val="00F35C6F"/>
    <w:rsid w:val="00F433D9"/>
    <w:rsid w:val="00F45D2C"/>
    <w:rsid w:val="00F512B3"/>
    <w:rsid w:val="00F5430A"/>
    <w:rsid w:val="00F551AD"/>
    <w:rsid w:val="00F57E3A"/>
    <w:rsid w:val="00F60625"/>
    <w:rsid w:val="00F62CF1"/>
    <w:rsid w:val="00F6532F"/>
    <w:rsid w:val="00F66B5E"/>
    <w:rsid w:val="00F67A87"/>
    <w:rsid w:val="00F70729"/>
    <w:rsid w:val="00F70DAF"/>
    <w:rsid w:val="00F70F27"/>
    <w:rsid w:val="00F76FA4"/>
    <w:rsid w:val="00F85BB4"/>
    <w:rsid w:val="00F86A67"/>
    <w:rsid w:val="00F92EBB"/>
    <w:rsid w:val="00FA0AD1"/>
    <w:rsid w:val="00FA0F6A"/>
    <w:rsid w:val="00FA2B5F"/>
    <w:rsid w:val="00FA356D"/>
    <w:rsid w:val="00FB261B"/>
    <w:rsid w:val="00FB3A8C"/>
    <w:rsid w:val="00FB42F5"/>
    <w:rsid w:val="00FB548F"/>
    <w:rsid w:val="00FB5801"/>
    <w:rsid w:val="00FB61CA"/>
    <w:rsid w:val="00FB711F"/>
    <w:rsid w:val="00FC058C"/>
    <w:rsid w:val="00FC57BA"/>
    <w:rsid w:val="00FC79EE"/>
    <w:rsid w:val="00FC7C3B"/>
    <w:rsid w:val="00FD159B"/>
    <w:rsid w:val="00FD183C"/>
    <w:rsid w:val="00FD42CC"/>
    <w:rsid w:val="00FD5770"/>
    <w:rsid w:val="00FD5F11"/>
    <w:rsid w:val="00FD7B31"/>
    <w:rsid w:val="00FE0AD5"/>
    <w:rsid w:val="00FE2740"/>
    <w:rsid w:val="00FE59E0"/>
    <w:rsid w:val="00FE5E86"/>
    <w:rsid w:val="00FE6B44"/>
    <w:rsid w:val="00FE6DD0"/>
    <w:rsid w:val="00FF04C9"/>
    <w:rsid w:val="00FF2EF7"/>
    <w:rsid w:val="00FF54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C92E1E"/>
  <w15:docId w15:val="{37D68234-DCC0-474F-87B5-6E46FD56C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4106"/>
    <w:pPr>
      <w:spacing w:after="240"/>
    </w:pPr>
    <w:rPr>
      <w:sz w:val="20"/>
    </w:rPr>
  </w:style>
  <w:style w:type="paragraph" w:styleId="Heading1">
    <w:name w:val="heading 1"/>
    <w:basedOn w:val="Normal"/>
    <w:next w:val="Normal"/>
    <w:link w:val="Heading1Char"/>
    <w:uiPriority w:val="9"/>
    <w:qFormat/>
    <w:rsid w:val="004046E1"/>
    <w:pPr>
      <w:keepNext/>
      <w:keepLines/>
      <w:spacing w:before="480" w:after="0"/>
      <w:outlineLvl w:val="0"/>
    </w:pPr>
    <w:rPr>
      <w:rFonts w:asciiTheme="majorHAnsi" w:eastAsiaTheme="majorEastAsia" w:hAnsiTheme="majorHAnsi" w:cstheme="majorBidi"/>
      <w:b/>
      <w:bCs/>
      <w:color w:val="0F1A42" w:themeColor="accent1" w:themeShade="BF"/>
      <w:sz w:val="28"/>
      <w:szCs w:val="28"/>
    </w:rPr>
  </w:style>
  <w:style w:type="paragraph" w:styleId="Heading2">
    <w:name w:val="heading 2"/>
    <w:basedOn w:val="Normal"/>
    <w:next w:val="Normal"/>
    <w:link w:val="Heading2Char"/>
    <w:uiPriority w:val="9"/>
    <w:unhideWhenUsed/>
    <w:qFormat/>
    <w:rsid w:val="004046E1"/>
    <w:pPr>
      <w:keepNext/>
      <w:keepLines/>
      <w:spacing w:before="200" w:after="0"/>
      <w:outlineLvl w:val="1"/>
    </w:pPr>
    <w:rPr>
      <w:rFonts w:asciiTheme="majorHAnsi" w:eastAsiaTheme="majorEastAsia" w:hAnsiTheme="majorHAnsi" w:cstheme="majorBidi"/>
      <w:b/>
      <w:bCs/>
      <w:color w:val="152359" w:themeColor="accent1"/>
      <w:sz w:val="26"/>
      <w:szCs w:val="26"/>
    </w:rPr>
  </w:style>
  <w:style w:type="paragraph" w:styleId="Heading3">
    <w:name w:val="heading 3"/>
    <w:basedOn w:val="Normal"/>
    <w:next w:val="Normal"/>
    <w:link w:val="Heading3Char"/>
    <w:uiPriority w:val="9"/>
    <w:unhideWhenUsed/>
    <w:qFormat/>
    <w:rsid w:val="00100A9B"/>
    <w:pPr>
      <w:keepNext/>
      <w:keepLines/>
      <w:spacing w:before="200" w:after="0"/>
      <w:outlineLvl w:val="2"/>
    </w:pPr>
    <w:rPr>
      <w:rFonts w:asciiTheme="majorHAnsi" w:eastAsiaTheme="majorEastAsia" w:hAnsiTheme="majorHAnsi" w:cstheme="majorBidi"/>
      <w:b/>
      <w:bCs/>
      <w:color w:val="152359" w:themeColor="accent1"/>
    </w:rPr>
  </w:style>
  <w:style w:type="paragraph" w:styleId="Heading4">
    <w:name w:val="heading 4"/>
    <w:basedOn w:val="Normal"/>
    <w:next w:val="Normal"/>
    <w:link w:val="Heading4Char"/>
    <w:uiPriority w:val="9"/>
    <w:unhideWhenUsed/>
    <w:rsid w:val="00100A9B"/>
    <w:pPr>
      <w:keepNext/>
      <w:keepLines/>
      <w:spacing w:before="200" w:after="0"/>
      <w:outlineLvl w:val="3"/>
    </w:pPr>
    <w:rPr>
      <w:rFonts w:asciiTheme="majorHAnsi" w:eastAsiaTheme="majorEastAsia" w:hAnsiTheme="majorHAnsi" w:cstheme="majorBidi"/>
      <w:b/>
      <w:bCs/>
      <w:i/>
      <w:iCs/>
      <w:color w:val="152359" w:themeColor="accent1"/>
    </w:rPr>
  </w:style>
  <w:style w:type="paragraph" w:styleId="Heading5">
    <w:name w:val="heading 5"/>
    <w:basedOn w:val="Normal"/>
    <w:next w:val="Normal"/>
    <w:link w:val="Heading5Char"/>
    <w:uiPriority w:val="9"/>
    <w:unhideWhenUsed/>
    <w:rsid w:val="00100A9B"/>
    <w:pPr>
      <w:keepNext/>
      <w:keepLines/>
      <w:spacing w:before="200" w:after="0"/>
      <w:outlineLvl w:val="4"/>
    </w:pPr>
    <w:rPr>
      <w:rFonts w:asciiTheme="majorHAnsi" w:eastAsiaTheme="majorEastAsia" w:hAnsiTheme="majorHAnsi" w:cstheme="majorBidi"/>
      <w:color w:val="0A112C" w:themeColor="accent1" w:themeShade="7F"/>
    </w:rPr>
  </w:style>
  <w:style w:type="paragraph" w:styleId="Heading6">
    <w:name w:val="heading 6"/>
    <w:basedOn w:val="Normal"/>
    <w:next w:val="Normal"/>
    <w:link w:val="Heading6Char"/>
    <w:uiPriority w:val="9"/>
    <w:semiHidden/>
    <w:unhideWhenUsed/>
    <w:rsid w:val="00F102F0"/>
    <w:pPr>
      <w:keepNext/>
      <w:keepLines/>
      <w:spacing w:before="40" w:after="0"/>
      <w:outlineLvl w:val="5"/>
    </w:pPr>
    <w:rPr>
      <w:rFonts w:asciiTheme="majorHAnsi" w:eastAsiaTheme="majorEastAsia" w:hAnsiTheme="majorHAnsi" w:cstheme="majorBidi"/>
      <w:color w:val="0A112C" w:themeColor="accent1" w:themeShade="7F"/>
    </w:rPr>
  </w:style>
  <w:style w:type="paragraph" w:styleId="Heading7">
    <w:name w:val="heading 7"/>
    <w:basedOn w:val="Normal"/>
    <w:next w:val="Normal"/>
    <w:link w:val="Heading7Char"/>
    <w:uiPriority w:val="9"/>
    <w:semiHidden/>
    <w:unhideWhenUsed/>
    <w:qFormat/>
    <w:rsid w:val="00F102F0"/>
    <w:pPr>
      <w:keepNext/>
      <w:keepLines/>
      <w:spacing w:before="40" w:after="0"/>
      <w:outlineLvl w:val="6"/>
    </w:pPr>
    <w:rPr>
      <w:rFonts w:asciiTheme="majorHAnsi" w:eastAsiaTheme="majorEastAsia" w:hAnsiTheme="majorHAnsi" w:cstheme="majorBidi"/>
      <w:i/>
      <w:iCs/>
      <w:color w:val="0A112C"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57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5700"/>
    <w:rPr>
      <w:rFonts w:ascii="Tahoma" w:hAnsi="Tahoma" w:cs="Tahoma"/>
      <w:sz w:val="16"/>
      <w:szCs w:val="16"/>
    </w:rPr>
  </w:style>
  <w:style w:type="paragraph" w:styleId="Header">
    <w:name w:val="header"/>
    <w:basedOn w:val="Normal"/>
    <w:link w:val="HeaderChar"/>
    <w:uiPriority w:val="99"/>
    <w:semiHidden/>
    <w:rsid w:val="00D4570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046E1"/>
  </w:style>
  <w:style w:type="paragraph" w:styleId="Footer">
    <w:name w:val="footer"/>
    <w:basedOn w:val="Normal"/>
    <w:link w:val="FooterChar"/>
    <w:uiPriority w:val="99"/>
    <w:semiHidden/>
    <w:rsid w:val="006F499A"/>
    <w:pPr>
      <w:keepNext/>
      <w:keepLines/>
      <w:tabs>
        <w:tab w:val="right" w:pos="10490"/>
      </w:tabs>
      <w:spacing w:before="240" w:after="0" w:line="240" w:lineRule="auto"/>
      <w:contextualSpacing/>
    </w:pPr>
    <w:rPr>
      <w:color w:val="000000" w:themeColor="text1"/>
      <w:sz w:val="11"/>
      <w:szCs w:val="11"/>
    </w:rPr>
  </w:style>
  <w:style w:type="character" w:customStyle="1" w:styleId="FooterChar">
    <w:name w:val="Footer Char"/>
    <w:basedOn w:val="DefaultParagraphFont"/>
    <w:link w:val="Footer"/>
    <w:uiPriority w:val="99"/>
    <w:semiHidden/>
    <w:rsid w:val="00562848"/>
    <w:rPr>
      <w:color w:val="000000" w:themeColor="text1"/>
      <w:sz w:val="11"/>
      <w:szCs w:val="11"/>
    </w:rPr>
  </w:style>
  <w:style w:type="character" w:customStyle="1" w:styleId="Heading1Char">
    <w:name w:val="Heading 1 Char"/>
    <w:basedOn w:val="DefaultParagraphFont"/>
    <w:link w:val="Heading1"/>
    <w:uiPriority w:val="9"/>
    <w:rsid w:val="004046E1"/>
    <w:rPr>
      <w:rFonts w:asciiTheme="majorHAnsi" w:eastAsiaTheme="majorEastAsia" w:hAnsiTheme="majorHAnsi" w:cstheme="majorBidi"/>
      <w:b/>
      <w:bCs/>
      <w:color w:val="0F1A42" w:themeColor="accent1" w:themeShade="BF"/>
      <w:sz w:val="28"/>
      <w:szCs w:val="28"/>
    </w:rPr>
  </w:style>
  <w:style w:type="character" w:customStyle="1" w:styleId="Heading2Char">
    <w:name w:val="Heading 2 Char"/>
    <w:basedOn w:val="DefaultParagraphFont"/>
    <w:link w:val="Heading2"/>
    <w:uiPriority w:val="9"/>
    <w:rsid w:val="004046E1"/>
    <w:rPr>
      <w:rFonts w:asciiTheme="majorHAnsi" w:eastAsiaTheme="majorEastAsia" w:hAnsiTheme="majorHAnsi" w:cstheme="majorBidi"/>
      <w:b/>
      <w:bCs/>
      <w:color w:val="152359" w:themeColor="accent1"/>
      <w:sz w:val="26"/>
      <w:szCs w:val="26"/>
    </w:rPr>
  </w:style>
  <w:style w:type="paragraph" w:styleId="NoSpacing">
    <w:name w:val="No Spacing"/>
    <w:uiPriority w:val="1"/>
    <w:semiHidden/>
    <w:qFormat/>
    <w:rsid w:val="004046E1"/>
    <w:pPr>
      <w:spacing w:after="0" w:line="240" w:lineRule="auto"/>
    </w:pPr>
  </w:style>
  <w:style w:type="paragraph" w:customStyle="1" w:styleId="letterheadreferences">
    <w:name w:val="letterhead references"/>
    <w:basedOn w:val="Normal"/>
    <w:semiHidden/>
    <w:qFormat/>
    <w:rsid w:val="00013C94"/>
    <w:pPr>
      <w:spacing w:after="0" w:line="283" w:lineRule="auto"/>
    </w:pPr>
    <w:rPr>
      <w:color w:val="000000" w:themeColor="text1"/>
      <w:sz w:val="16"/>
    </w:rPr>
  </w:style>
  <w:style w:type="character" w:styleId="Strong">
    <w:name w:val="Strong"/>
    <w:basedOn w:val="DefaultParagraphFont"/>
    <w:uiPriority w:val="22"/>
    <w:semiHidden/>
    <w:qFormat/>
    <w:rsid w:val="00100A9B"/>
    <w:rPr>
      <w:b/>
      <w:bCs/>
    </w:rPr>
  </w:style>
  <w:style w:type="character" w:customStyle="1" w:styleId="Heading3Char">
    <w:name w:val="Heading 3 Char"/>
    <w:basedOn w:val="DefaultParagraphFont"/>
    <w:link w:val="Heading3"/>
    <w:uiPriority w:val="9"/>
    <w:rsid w:val="00100A9B"/>
    <w:rPr>
      <w:rFonts w:asciiTheme="majorHAnsi" w:eastAsiaTheme="majorEastAsia" w:hAnsiTheme="majorHAnsi" w:cstheme="majorBidi"/>
      <w:b/>
      <w:bCs/>
      <w:color w:val="152359" w:themeColor="accent1"/>
    </w:rPr>
  </w:style>
  <w:style w:type="character" w:customStyle="1" w:styleId="Heading4Char">
    <w:name w:val="Heading 4 Char"/>
    <w:basedOn w:val="DefaultParagraphFont"/>
    <w:link w:val="Heading4"/>
    <w:uiPriority w:val="9"/>
    <w:rsid w:val="00100A9B"/>
    <w:rPr>
      <w:rFonts w:asciiTheme="majorHAnsi" w:eastAsiaTheme="majorEastAsia" w:hAnsiTheme="majorHAnsi" w:cstheme="majorBidi"/>
      <w:b/>
      <w:bCs/>
      <w:i/>
      <w:iCs/>
      <w:color w:val="152359" w:themeColor="accent1"/>
    </w:rPr>
  </w:style>
  <w:style w:type="character" w:customStyle="1" w:styleId="Heading5Char">
    <w:name w:val="Heading 5 Char"/>
    <w:basedOn w:val="DefaultParagraphFont"/>
    <w:link w:val="Heading5"/>
    <w:uiPriority w:val="9"/>
    <w:rsid w:val="00100A9B"/>
    <w:rPr>
      <w:rFonts w:asciiTheme="majorHAnsi" w:eastAsiaTheme="majorEastAsia" w:hAnsiTheme="majorHAnsi" w:cstheme="majorBidi"/>
      <w:color w:val="0A112C" w:themeColor="accent1" w:themeShade="7F"/>
    </w:rPr>
  </w:style>
  <w:style w:type="table" w:styleId="LightList-Accent4">
    <w:name w:val="Light List Accent 4"/>
    <w:basedOn w:val="TableNormal"/>
    <w:uiPriority w:val="61"/>
    <w:rsid w:val="007D0557"/>
    <w:pPr>
      <w:spacing w:before="60" w:after="60" w:line="240" w:lineRule="auto"/>
    </w:pPr>
    <w:rPr>
      <w:color w:val="000000" w:themeColor="text1"/>
      <w:sz w:val="20"/>
      <w:szCs w:val="20"/>
    </w:rPr>
    <w:tblPr>
      <w:tblStyleRowBandSize w:val="1"/>
      <w:tblStyleColBandSize w:val="1"/>
      <w:tblInd w:w="1361" w:type="dxa"/>
      <w:tblBorders>
        <w:insideH w:val="single" w:sz="2" w:space="0" w:color="E3F3FB" w:themeColor="accent3"/>
      </w:tblBorders>
    </w:tblPr>
    <w:tblStylePr w:type="firstRow">
      <w:pPr>
        <w:wordWrap/>
        <w:spacing w:beforeLines="60" w:before="60" w:beforeAutospacing="0" w:afterLines="60" w:after="60" w:afterAutospacing="0" w:line="240" w:lineRule="auto"/>
        <w:jc w:val="left"/>
      </w:pPr>
      <w:rPr>
        <w:b/>
        <w:bCs/>
        <w:color w:val="FFFFFF" w:themeColor="background1"/>
      </w:rPr>
      <w:tblPr/>
      <w:tcPr>
        <w:tcBorders>
          <w:top w:val="nil"/>
          <w:left w:val="nil"/>
          <w:bottom w:val="nil"/>
          <w:right w:val="nil"/>
          <w:insideH w:val="nil"/>
          <w:insideV w:val="nil"/>
          <w:tl2br w:val="nil"/>
          <w:tr2bl w:val="nil"/>
        </w:tcBorders>
        <w:shd w:val="clear" w:color="auto" w:fill="63BFB5" w:themeFill="accent4"/>
        <w:vAlign w:val="bottom"/>
      </w:tcPr>
    </w:tblStylePr>
    <w:tblStylePr w:type="lastRow">
      <w:pPr>
        <w:spacing w:before="0" w:after="0" w:line="240" w:lineRule="auto"/>
      </w:pPr>
      <w:rPr>
        <w:b/>
        <w:bCs/>
      </w:rPr>
      <w:tblPr/>
      <w:tcPr>
        <w:tcBorders>
          <w:top w:val="nil"/>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tblPr/>
      <w:tcPr>
        <w:tcBorders>
          <w:top w:val="nil"/>
          <w:left w:val="nil"/>
          <w:bottom w:val="single" w:sz="2" w:space="0" w:color="E3F3FB" w:themeColor="accent3"/>
          <w:right w:val="nil"/>
          <w:insideH w:val="nil"/>
          <w:insideV w:val="nil"/>
          <w:tl2br w:val="nil"/>
          <w:tr2bl w:val="nil"/>
        </w:tcBorders>
      </w:tcPr>
    </w:tblStylePr>
    <w:tblStylePr w:type="band2Vert">
      <w:tblPr/>
      <w:tcPr>
        <w:tcBorders>
          <w:top w:val="nil"/>
          <w:left w:val="nil"/>
          <w:bottom w:val="single" w:sz="2" w:space="0" w:color="E3F3FB" w:themeColor="accent3"/>
          <w:right w:val="nil"/>
          <w:insideH w:val="nil"/>
          <w:insideV w:val="nil"/>
          <w:tl2br w:val="nil"/>
          <w:tr2bl w:val="nil"/>
        </w:tcBorders>
      </w:tcPr>
    </w:tblStylePr>
    <w:tblStylePr w:type="band1Horz">
      <w:tblPr/>
      <w:tcPr>
        <w:tcBorders>
          <w:top w:val="nil"/>
          <w:left w:val="nil"/>
          <w:bottom w:val="nil"/>
          <w:right w:val="nil"/>
          <w:insideH w:val="nil"/>
          <w:insideV w:val="nil"/>
        </w:tcBorders>
        <w:shd w:val="clear" w:color="auto" w:fill="ABD8ED" w:themeFill="accent2"/>
      </w:tcPr>
    </w:tblStylePr>
    <w:tblStylePr w:type="band2Horz">
      <w:tblPr/>
      <w:tcPr>
        <w:tcBorders>
          <w:top w:val="nil"/>
          <w:left w:val="nil"/>
          <w:bottom w:val="nil"/>
          <w:right w:val="nil"/>
          <w:insideH w:val="nil"/>
          <w:insideV w:val="nil"/>
          <w:tl2br w:val="nil"/>
          <w:tr2bl w:val="nil"/>
        </w:tcBorders>
      </w:tcPr>
    </w:tblStylePr>
  </w:style>
  <w:style w:type="paragraph" w:customStyle="1" w:styleId="Bullet1">
    <w:name w:val="Bullet 1"/>
    <w:basedOn w:val="Normal"/>
    <w:uiPriority w:val="11"/>
    <w:qFormat/>
    <w:rsid w:val="005F3CFF"/>
    <w:pPr>
      <w:numPr>
        <w:numId w:val="8"/>
      </w:numPr>
      <w:spacing w:after="120"/>
    </w:pPr>
    <w:rPr>
      <w:color w:val="000000" w:themeColor="text1"/>
      <w:szCs w:val="20"/>
    </w:rPr>
  </w:style>
  <w:style w:type="paragraph" w:customStyle="1" w:styleId="Bullet2">
    <w:name w:val="Bullet 2"/>
    <w:basedOn w:val="Bullet1"/>
    <w:uiPriority w:val="11"/>
    <w:qFormat/>
    <w:rsid w:val="00117FF1"/>
    <w:pPr>
      <w:numPr>
        <w:ilvl w:val="1"/>
      </w:numPr>
    </w:pPr>
  </w:style>
  <w:style w:type="paragraph" w:customStyle="1" w:styleId="Bullet3">
    <w:name w:val="Bullet 3"/>
    <w:basedOn w:val="Bullet2"/>
    <w:uiPriority w:val="11"/>
    <w:unhideWhenUsed/>
    <w:rsid w:val="00117FF1"/>
    <w:pPr>
      <w:numPr>
        <w:ilvl w:val="2"/>
      </w:numPr>
    </w:pPr>
  </w:style>
  <w:style w:type="paragraph" w:customStyle="1" w:styleId="Bullet4">
    <w:name w:val="Bullet 4"/>
    <w:basedOn w:val="Bullet3"/>
    <w:uiPriority w:val="11"/>
    <w:unhideWhenUsed/>
    <w:rsid w:val="00117FF1"/>
    <w:pPr>
      <w:numPr>
        <w:ilvl w:val="3"/>
      </w:numPr>
    </w:pPr>
  </w:style>
  <w:style w:type="paragraph" w:customStyle="1" w:styleId="Bullet5">
    <w:name w:val="Bullet 5"/>
    <w:basedOn w:val="Bullet4"/>
    <w:uiPriority w:val="11"/>
    <w:unhideWhenUsed/>
    <w:rsid w:val="00117FF1"/>
    <w:pPr>
      <w:numPr>
        <w:ilvl w:val="4"/>
      </w:numPr>
    </w:pPr>
  </w:style>
  <w:style w:type="paragraph" w:customStyle="1" w:styleId="Bullet6">
    <w:name w:val="Bullet 6"/>
    <w:basedOn w:val="Bullet5"/>
    <w:uiPriority w:val="11"/>
    <w:unhideWhenUsed/>
    <w:rsid w:val="00117FF1"/>
    <w:pPr>
      <w:numPr>
        <w:ilvl w:val="5"/>
      </w:numPr>
    </w:pPr>
  </w:style>
  <w:style w:type="paragraph" w:customStyle="1" w:styleId="Bullet7">
    <w:name w:val="Bullet 7"/>
    <w:basedOn w:val="Bullet6"/>
    <w:uiPriority w:val="11"/>
    <w:unhideWhenUsed/>
    <w:rsid w:val="00117FF1"/>
    <w:pPr>
      <w:numPr>
        <w:ilvl w:val="6"/>
      </w:numPr>
    </w:pPr>
  </w:style>
  <w:style w:type="paragraph" w:customStyle="1" w:styleId="Bullet8">
    <w:name w:val="Bullet 8"/>
    <w:basedOn w:val="Bullet7"/>
    <w:uiPriority w:val="11"/>
    <w:unhideWhenUsed/>
    <w:rsid w:val="00117FF1"/>
    <w:pPr>
      <w:numPr>
        <w:ilvl w:val="7"/>
      </w:numPr>
    </w:pPr>
  </w:style>
  <w:style w:type="paragraph" w:customStyle="1" w:styleId="letterheadreferencessmall">
    <w:name w:val="letterhead references small"/>
    <w:basedOn w:val="BalloonText"/>
    <w:semiHidden/>
    <w:rsid w:val="008D1794"/>
    <w:pPr>
      <w:spacing w:after="100"/>
    </w:pPr>
    <w:rPr>
      <w:rFonts w:asciiTheme="minorHAnsi" w:hAnsiTheme="minorHAnsi" w:cstheme="minorHAnsi"/>
      <w:sz w:val="10"/>
    </w:rPr>
  </w:style>
  <w:style w:type="table" w:styleId="TableGrid">
    <w:name w:val="Table Grid"/>
    <w:basedOn w:val="TableNormal"/>
    <w:uiPriority w:val="39"/>
    <w:rsid w:val="00A25A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ldBlue">
    <w:name w:val="Bold Blue"/>
    <w:basedOn w:val="Normal"/>
    <w:next w:val="Normal"/>
    <w:uiPriority w:val="14"/>
    <w:semiHidden/>
    <w:qFormat/>
    <w:rsid w:val="00F6532F"/>
    <w:rPr>
      <w:b/>
      <w:iCs/>
      <w:color w:val="152359" w:themeColor="accent1"/>
    </w:rPr>
  </w:style>
  <w:style w:type="paragraph" w:customStyle="1" w:styleId="Officeaddress">
    <w:name w:val="Office address"/>
    <w:basedOn w:val="BoldBlue"/>
    <w:next w:val="Normal"/>
    <w:semiHidden/>
    <w:qFormat/>
    <w:rsid w:val="00154177"/>
    <w:pPr>
      <w:spacing w:before="840" w:after="0"/>
      <w:contextualSpacing/>
    </w:pPr>
    <w:rPr>
      <w:b w:val="0"/>
      <w:color w:val="152359"/>
      <w:sz w:val="16"/>
      <w:lang w:val="de-DE"/>
    </w:rPr>
  </w:style>
  <w:style w:type="paragraph" w:customStyle="1" w:styleId="PageNumber1">
    <w:name w:val="Page Number1"/>
    <w:basedOn w:val="Footer"/>
    <w:semiHidden/>
    <w:qFormat/>
    <w:rsid w:val="006F499A"/>
    <w:pPr>
      <w:jc w:val="right"/>
    </w:pPr>
    <w:rPr>
      <w:b/>
      <w:noProof/>
      <w:color w:val="152359" w:themeColor="text2"/>
      <w:sz w:val="16"/>
      <w:szCs w:val="16"/>
      <w:lang w:eastAsia="en-GB"/>
    </w:rPr>
  </w:style>
  <w:style w:type="paragraph" w:customStyle="1" w:styleId="disc">
    <w:name w:val="disc"/>
    <w:basedOn w:val="Footer"/>
    <w:semiHidden/>
    <w:rsid w:val="00880985"/>
    <w:rPr>
      <w:color w:val="000000"/>
    </w:rPr>
  </w:style>
  <w:style w:type="paragraph" w:customStyle="1" w:styleId="headerreferencetext">
    <w:name w:val="header reference text"/>
    <w:basedOn w:val="Header"/>
    <w:semiHidden/>
    <w:qFormat/>
    <w:rsid w:val="004C4C44"/>
    <w:pPr>
      <w:spacing w:after="360"/>
      <w:contextualSpacing/>
    </w:pPr>
    <w:rPr>
      <w:b/>
      <w:color w:val="152359" w:themeColor="text2"/>
      <w:sz w:val="16"/>
    </w:rPr>
  </w:style>
  <w:style w:type="paragraph" w:customStyle="1" w:styleId="Subjectline">
    <w:name w:val="Subject line"/>
    <w:basedOn w:val="Normal"/>
    <w:qFormat/>
    <w:rsid w:val="0009246A"/>
    <w:rPr>
      <w:b/>
      <w:caps/>
    </w:rPr>
  </w:style>
  <w:style w:type="paragraph" w:customStyle="1" w:styleId="Address">
    <w:name w:val="Address"/>
    <w:basedOn w:val="Normal"/>
    <w:qFormat/>
    <w:rsid w:val="00AB6343"/>
    <w:pPr>
      <w:spacing w:after="0"/>
    </w:pPr>
  </w:style>
  <w:style w:type="table" w:customStyle="1" w:styleId="Bidwellsindented">
    <w:name w:val="Bidwells indented"/>
    <w:basedOn w:val="Bidwells"/>
    <w:uiPriority w:val="99"/>
    <w:rsid w:val="00C6541C"/>
    <w:tblPr>
      <w:tblInd w:w="680" w:type="dxa"/>
    </w:tblPr>
    <w:tblStylePr w:type="firstRow">
      <w:pPr>
        <w:jc w:val="left"/>
      </w:pPr>
      <w:rPr>
        <w:b/>
        <w:caps/>
        <w:smallCaps w:val="0"/>
        <w:strike w:val="0"/>
        <w:dstrike w:val="0"/>
        <w:vanish w:val="0"/>
        <w:color w:val="ABD8ED" w:themeColor="accent2"/>
        <w:vertAlign w:val="baseline"/>
      </w:rPr>
      <w:tblPr/>
      <w:tcPr>
        <w:shd w:val="clear" w:color="auto" w:fill="152359" w:themeFill="text2"/>
        <w:vAlign w:val="bottom"/>
      </w:tcPr>
    </w:tblStylePr>
    <w:tblStylePr w:type="lastRow">
      <w:rPr>
        <w:b/>
        <w:caps/>
        <w:smallCaps w:val="0"/>
        <w:strike w:val="0"/>
        <w:dstrike w:val="0"/>
        <w:vanish w:val="0"/>
        <w:color w:val="152359" w:themeColor="text2"/>
        <w:vertAlign w:val="baseline"/>
      </w:rPr>
      <w:tblPr/>
      <w:tcPr>
        <w:shd w:val="clear" w:color="auto" w:fill="ABD8ED" w:themeFill="accent2"/>
      </w:tcPr>
    </w:tblStylePr>
    <w:tblStylePr w:type="firstCol">
      <w:rPr>
        <w:b/>
      </w:rPr>
    </w:tblStylePr>
    <w:tblStylePr w:type="band1Horz">
      <w:tblPr/>
      <w:tcPr>
        <w:shd w:val="clear" w:color="auto" w:fill="EEECE1" w:themeFill="background2"/>
      </w:tcPr>
    </w:tblStylePr>
  </w:style>
  <w:style w:type="table" w:styleId="TableGridLight">
    <w:name w:val="Grid Table Light"/>
    <w:basedOn w:val="TableNormal"/>
    <w:uiPriority w:val="40"/>
    <w:rsid w:val="00EC4D1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EC4D1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EC4D1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EC4D1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EC4D16"/>
    <w:pPr>
      <w:spacing w:after="0" w:line="240" w:lineRule="auto"/>
    </w:pPr>
    <w:tblPr>
      <w:tblStyleRowBandSize w:val="1"/>
      <w:tblStyleColBandSize w:val="1"/>
      <w:tblBorders>
        <w:top w:val="single" w:sz="4" w:space="0" w:color="7D91E0" w:themeColor="accent1" w:themeTint="66"/>
        <w:left w:val="single" w:sz="4" w:space="0" w:color="7D91E0" w:themeColor="accent1" w:themeTint="66"/>
        <w:bottom w:val="single" w:sz="4" w:space="0" w:color="7D91E0" w:themeColor="accent1" w:themeTint="66"/>
        <w:right w:val="single" w:sz="4" w:space="0" w:color="7D91E0" w:themeColor="accent1" w:themeTint="66"/>
        <w:insideH w:val="single" w:sz="4" w:space="0" w:color="7D91E0" w:themeColor="accent1" w:themeTint="66"/>
        <w:insideV w:val="single" w:sz="4" w:space="0" w:color="7D91E0" w:themeColor="accent1" w:themeTint="66"/>
      </w:tblBorders>
    </w:tblPr>
    <w:tblStylePr w:type="firstRow">
      <w:rPr>
        <w:b/>
        <w:bCs/>
      </w:rPr>
      <w:tblPr/>
      <w:tcPr>
        <w:tcBorders>
          <w:bottom w:val="single" w:sz="12" w:space="0" w:color="3C5BD1" w:themeColor="accent1" w:themeTint="99"/>
        </w:tcBorders>
      </w:tcPr>
    </w:tblStylePr>
    <w:tblStylePr w:type="lastRow">
      <w:rPr>
        <w:b/>
        <w:bCs/>
      </w:rPr>
      <w:tblPr/>
      <w:tcPr>
        <w:tcBorders>
          <w:top w:val="double" w:sz="2" w:space="0" w:color="3C5BD1" w:themeColor="accent1" w:themeTint="99"/>
        </w:tcBorders>
      </w:tcPr>
    </w:tblStylePr>
    <w:tblStylePr w:type="firstCol">
      <w:rPr>
        <w:b/>
        <w:bCs/>
      </w:rPr>
    </w:tblStylePr>
    <w:tblStylePr w:type="lastCol">
      <w:rPr>
        <w:b/>
        <w:bCs/>
      </w:rPr>
    </w:tblStylePr>
  </w:style>
  <w:style w:type="table" w:customStyle="1" w:styleId="Bidwells">
    <w:name w:val="Bidwells"/>
    <w:basedOn w:val="TableNormal"/>
    <w:uiPriority w:val="99"/>
    <w:rsid w:val="00C6541C"/>
    <w:pPr>
      <w:spacing w:before="60" w:after="60"/>
    </w:pPr>
    <w:rPr>
      <w:color w:val="000000" w:themeColor="text1"/>
      <w:sz w:val="20"/>
      <w:szCs w:val="20"/>
    </w:rPr>
    <w:tblPr>
      <w:tblStyleRowBandSize w:val="1"/>
      <w:tblBorders>
        <w:left w:val="single" w:sz="2" w:space="0" w:color="152359" w:themeColor="text2"/>
        <w:bottom w:val="single" w:sz="4" w:space="0" w:color="152359" w:themeColor="text2"/>
        <w:right w:val="single" w:sz="2" w:space="0" w:color="152359" w:themeColor="text2"/>
        <w:insideH w:val="single" w:sz="2" w:space="0" w:color="152359" w:themeColor="text2"/>
        <w:insideV w:val="single" w:sz="2" w:space="0" w:color="152359" w:themeColor="text2"/>
      </w:tblBorders>
    </w:tblPr>
    <w:tblStylePr w:type="firstRow">
      <w:pPr>
        <w:jc w:val="left"/>
      </w:pPr>
      <w:rPr>
        <w:b/>
        <w:caps/>
        <w:smallCaps w:val="0"/>
        <w:strike w:val="0"/>
        <w:dstrike w:val="0"/>
        <w:vanish w:val="0"/>
        <w:color w:val="ABD8ED" w:themeColor="accent2"/>
        <w:vertAlign w:val="baseline"/>
      </w:rPr>
      <w:tblPr/>
      <w:tcPr>
        <w:shd w:val="clear" w:color="auto" w:fill="152359" w:themeFill="text2"/>
        <w:vAlign w:val="bottom"/>
      </w:tcPr>
    </w:tblStylePr>
    <w:tblStylePr w:type="lastRow">
      <w:rPr>
        <w:b/>
        <w:caps/>
        <w:smallCaps w:val="0"/>
        <w:strike w:val="0"/>
        <w:dstrike w:val="0"/>
        <w:vanish w:val="0"/>
        <w:color w:val="152359" w:themeColor="text2"/>
        <w:vertAlign w:val="baseline"/>
      </w:rPr>
      <w:tblPr/>
      <w:tcPr>
        <w:shd w:val="clear" w:color="auto" w:fill="ABD8ED" w:themeFill="accent2"/>
      </w:tcPr>
    </w:tblStylePr>
    <w:tblStylePr w:type="firstCol">
      <w:rPr>
        <w:b/>
      </w:rPr>
    </w:tblStylePr>
    <w:tblStylePr w:type="band1Horz">
      <w:tblPr/>
      <w:tcPr>
        <w:shd w:val="clear" w:color="auto" w:fill="EEECE1" w:themeFill="background2"/>
      </w:tcPr>
    </w:tblStylePr>
  </w:style>
  <w:style w:type="paragraph" w:customStyle="1" w:styleId="LegalNumber1">
    <w:name w:val="Legal Number 1"/>
    <w:basedOn w:val="NormalIndent"/>
    <w:uiPriority w:val="13"/>
    <w:qFormat/>
    <w:rsid w:val="00C84106"/>
    <w:pPr>
      <w:numPr>
        <w:numId w:val="15"/>
      </w:numPr>
      <w:spacing w:before="360" w:after="120"/>
    </w:pPr>
    <w:rPr>
      <w:color w:val="000000" w:themeColor="text1"/>
      <w:szCs w:val="20"/>
    </w:rPr>
  </w:style>
  <w:style w:type="paragraph" w:styleId="NormalIndent">
    <w:name w:val="Normal Indent"/>
    <w:basedOn w:val="Normal"/>
    <w:uiPriority w:val="99"/>
    <w:semiHidden/>
    <w:unhideWhenUsed/>
    <w:rsid w:val="00C84106"/>
    <w:pPr>
      <w:ind w:left="720"/>
    </w:pPr>
  </w:style>
  <w:style w:type="paragraph" w:customStyle="1" w:styleId="LegalNumber2">
    <w:name w:val="Legal Number 2"/>
    <w:basedOn w:val="LegalNumber1"/>
    <w:uiPriority w:val="13"/>
    <w:qFormat/>
    <w:rsid w:val="00C84106"/>
    <w:pPr>
      <w:numPr>
        <w:ilvl w:val="1"/>
      </w:numPr>
    </w:pPr>
  </w:style>
  <w:style w:type="paragraph" w:customStyle="1" w:styleId="LegalNumber3">
    <w:name w:val="Legal Number 3"/>
    <w:basedOn w:val="LegalNumber2"/>
    <w:uiPriority w:val="13"/>
    <w:qFormat/>
    <w:rsid w:val="00C84106"/>
    <w:pPr>
      <w:numPr>
        <w:ilvl w:val="2"/>
      </w:numPr>
    </w:pPr>
  </w:style>
  <w:style w:type="paragraph" w:customStyle="1" w:styleId="LegalNumber4">
    <w:name w:val="Legal Number 4"/>
    <w:basedOn w:val="LegalNumber3"/>
    <w:uiPriority w:val="13"/>
    <w:unhideWhenUsed/>
    <w:qFormat/>
    <w:rsid w:val="00C84106"/>
    <w:pPr>
      <w:numPr>
        <w:ilvl w:val="3"/>
      </w:numPr>
    </w:pPr>
  </w:style>
  <w:style w:type="paragraph" w:customStyle="1" w:styleId="LegalNumber5">
    <w:name w:val="Legal Number 5"/>
    <w:basedOn w:val="LegalNumber4"/>
    <w:uiPriority w:val="13"/>
    <w:unhideWhenUsed/>
    <w:qFormat/>
    <w:rsid w:val="00C84106"/>
    <w:pPr>
      <w:numPr>
        <w:ilvl w:val="4"/>
      </w:numPr>
    </w:pPr>
  </w:style>
  <w:style w:type="paragraph" w:customStyle="1" w:styleId="LegalNumber6">
    <w:name w:val="Legal Number 6"/>
    <w:basedOn w:val="LegalNumber5"/>
    <w:uiPriority w:val="13"/>
    <w:unhideWhenUsed/>
    <w:qFormat/>
    <w:rsid w:val="00C84106"/>
    <w:pPr>
      <w:numPr>
        <w:ilvl w:val="5"/>
      </w:numPr>
    </w:pPr>
  </w:style>
  <w:style w:type="paragraph" w:customStyle="1" w:styleId="Options">
    <w:name w:val="Options"/>
    <w:basedOn w:val="Normal"/>
    <w:qFormat/>
    <w:rsid w:val="002A541A"/>
    <w:pPr>
      <w:spacing w:after="0"/>
    </w:pPr>
    <w:rPr>
      <w:color w:val="152359" w:themeColor="text2"/>
    </w:rPr>
  </w:style>
  <w:style w:type="paragraph" w:customStyle="1" w:styleId="Number1">
    <w:name w:val="Number 1"/>
    <w:basedOn w:val="Heading3"/>
    <w:next w:val="Normal"/>
    <w:uiPriority w:val="1"/>
    <w:qFormat/>
    <w:rsid w:val="00F102F0"/>
    <w:pPr>
      <w:keepLines w:val="0"/>
      <w:numPr>
        <w:numId w:val="20"/>
      </w:numPr>
      <w:tabs>
        <w:tab w:val="left" w:pos="1361"/>
      </w:tabs>
      <w:spacing w:before="480" w:after="120" w:line="240" w:lineRule="auto"/>
    </w:pPr>
    <w:rPr>
      <w:rFonts w:eastAsiaTheme="minorHAnsi"/>
      <w:sz w:val="36"/>
      <w:szCs w:val="26"/>
    </w:rPr>
  </w:style>
  <w:style w:type="paragraph" w:customStyle="1" w:styleId="Number2">
    <w:name w:val="Number 2"/>
    <w:basedOn w:val="Heading4"/>
    <w:next w:val="NormalIndent"/>
    <w:uiPriority w:val="1"/>
    <w:qFormat/>
    <w:rsid w:val="00F102F0"/>
    <w:pPr>
      <w:keepLines w:val="0"/>
      <w:numPr>
        <w:ilvl w:val="1"/>
        <w:numId w:val="20"/>
      </w:numPr>
      <w:tabs>
        <w:tab w:val="left" w:pos="680"/>
        <w:tab w:val="left" w:pos="1361"/>
      </w:tabs>
    </w:pPr>
    <w:rPr>
      <w:bCs w:val="0"/>
      <w:i w:val="0"/>
      <w:color w:val="000000" w:themeColor="text1"/>
      <w:szCs w:val="26"/>
    </w:rPr>
  </w:style>
  <w:style w:type="paragraph" w:customStyle="1" w:styleId="Number3">
    <w:name w:val="Number 3"/>
    <w:basedOn w:val="Heading5"/>
    <w:uiPriority w:val="1"/>
    <w:unhideWhenUsed/>
    <w:qFormat/>
    <w:rsid w:val="00F102F0"/>
    <w:pPr>
      <w:keepNext w:val="0"/>
      <w:keepLines w:val="0"/>
      <w:numPr>
        <w:ilvl w:val="2"/>
        <w:numId w:val="20"/>
      </w:numPr>
      <w:tabs>
        <w:tab w:val="left" w:pos="680"/>
        <w:tab w:val="left" w:pos="1361"/>
      </w:tabs>
      <w:spacing w:before="120"/>
    </w:pPr>
    <w:rPr>
      <w:b/>
      <w:iCs/>
      <w:color w:val="000000" w:themeColor="text1"/>
      <w:szCs w:val="26"/>
    </w:rPr>
  </w:style>
  <w:style w:type="paragraph" w:customStyle="1" w:styleId="Number4">
    <w:name w:val="Number 4"/>
    <w:basedOn w:val="Heading6"/>
    <w:uiPriority w:val="1"/>
    <w:unhideWhenUsed/>
    <w:qFormat/>
    <w:rsid w:val="00F102F0"/>
    <w:pPr>
      <w:keepNext w:val="0"/>
      <w:keepLines w:val="0"/>
      <w:numPr>
        <w:ilvl w:val="3"/>
        <w:numId w:val="20"/>
      </w:numPr>
      <w:tabs>
        <w:tab w:val="left" w:pos="680"/>
        <w:tab w:val="left" w:pos="1361"/>
      </w:tabs>
      <w:spacing w:before="120"/>
    </w:pPr>
    <w:rPr>
      <w:b/>
      <w:color w:val="000000" w:themeColor="text1"/>
      <w:szCs w:val="26"/>
    </w:rPr>
  </w:style>
  <w:style w:type="character" w:customStyle="1" w:styleId="Heading6Char">
    <w:name w:val="Heading 6 Char"/>
    <w:basedOn w:val="DefaultParagraphFont"/>
    <w:link w:val="Heading6"/>
    <w:uiPriority w:val="9"/>
    <w:semiHidden/>
    <w:rsid w:val="00F102F0"/>
    <w:rPr>
      <w:rFonts w:asciiTheme="majorHAnsi" w:eastAsiaTheme="majorEastAsia" w:hAnsiTheme="majorHAnsi" w:cstheme="majorBidi"/>
      <w:color w:val="0A112C" w:themeColor="accent1" w:themeShade="7F"/>
      <w:sz w:val="20"/>
    </w:rPr>
  </w:style>
  <w:style w:type="paragraph" w:customStyle="1" w:styleId="Number5">
    <w:name w:val="Number 5"/>
    <w:basedOn w:val="Heading7"/>
    <w:uiPriority w:val="1"/>
    <w:unhideWhenUsed/>
    <w:qFormat/>
    <w:rsid w:val="00F102F0"/>
    <w:pPr>
      <w:keepNext w:val="0"/>
      <w:keepLines w:val="0"/>
      <w:numPr>
        <w:ilvl w:val="4"/>
        <w:numId w:val="20"/>
      </w:numPr>
      <w:tabs>
        <w:tab w:val="left" w:pos="680"/>
        <w:tab w:val="left" w:pos="1361"/>
      </w:tabs>
      <w:spacing w:before="120"/>
    </w:pPr>
    <w:rPr>
      <w:b/>
      <w:i w:val="0"/>
      <w:color w:val="000000" w:themeColor="text1"/>
      <w:szCs w:val="26"/>
    </w:rPr>
  </w:style>
  <w:style w:type="character" w:customStyle="1" w:styleId="Heading7Char">
    <w:name w:val="Heading 7 Char"/>
    <w:basedOn w:val="DefaultParagraphFont"/>
    <w:link w:val="Heading7"/>
    <w:uiPriority w:val="9"/>
    <w:semiHidden/>
    <w:rsid w:val="00F102F0"/>
    <w:rPr>
      <w:rFonts w:asciiTheme="majorHAnsi" w:eastAsiaTheme="majorEastAsia" w:hAnsiTheme="majorHAnsi" w:cstheme="majorBidi"/>
      <w:i/>
      <w:iCs/>
      <w:color w:val="0A112C" w:themeColor="accent1" w:themeShade="7F"/>
      <w:sz w:val="20"/>
    </w:rPr>
  </w:style>
  <w:style w:type="paragraph" w:styleId="ListParagraph">
    <w:name w:val="List Paragraph"/>
    <w:basedOn w:val="Normal"/>
    <w:uiPriority w:val="34"/>
    <w:qFormat/>
    <w:rsid w:val="00836139"/>
    <w:pPr>
      <w:ind w:left="720"/>
      <w:contextualSpacing/>
    </w:pPr>
  </w:style>
  <w:style w:type="paragraph" w:customStyle="1" w:styleId="BTBullet1">
    <w:name w:val="BTBullet1"/>
    <w:basedOn w:val="BodyText"/>
    <w:uiPriority w:val="1"/>
    <w:qFormat/>
    <w:rsid w:val="00FF04C9"/>
    <w:pPr>
      <w:numPr>
        <w:ilvl w:val="6"/>
        <w:numId w:val="25"/>
      </w:numPr>
      <w:tabs>
        <w:tab w:val="clear" w:pos="1021"/>
        <w:tab w:val="num" w:pos="360"/>
      </w:tabs>
      <w:spacing w:after="240" w:line="240" w:lineRule="atLeast"/>
      <w:ind w:left="0" w:firstLine="0"/>
      <w:jc w:val="both"/>
    </w:pPr>
    <w:rPr>
      <w:rFonts w:ascii="Arial" w:eastAsia="Times New Roman" w:hAnsi="Arial" w:cs="Times New Roman"/>
      <w:szCs w:val="24"/>
      <w:lang w:eastAsia="en-GB"/>
    </w:rPr>
  </w:style>
  <w:style w:type="paragraph" w:customStyle="1" w:styleId="BTBullet2">
    <w:name w:val="BTBullet2"/>
    <w:basedOn w:val="BTBullet1"/>
    <w:uiPriority w:val="1"/>
    <w:qFormat/>
    <w:rsid w:val="00FF04C9"/>
    <w:pPr>
      <w:numPr>
        <w:ilvl w:val="7"/>
      </w:numPr>
      <w:tabs>
        <w:tab w:val="clear" w:pos="1361"/>
        <w:tab w:val="num" w:pos="360"/>
      </w:tabs>
    </w:pPr>
  </w:style>
  <w:style w:type="paragraph" w:customStyle="1" w:styleId="BTNumbList1">
    <w:name w:val="BTNumbList1"/>
    <w:basedOn w:val="BodyText"/>
    <w:uiPriority w:val="1"/>
    <w:qFormat/>
    <w:rsid w:val="00FF04C9"/>
    <w:pPr>
      <w:numPr>
        <w:ilvl w:val="4"/>
        <w:numId w:val="25"/>
      </w:numPr>
      <w:tabs>
        <w:tab w:val="clear" w:pos="1021"/>
        <w:tab w:val="num" w:pos="360"/>
      </w:tabs>
      <w:spacing w:after="240" w:line="240" w:lineRule="atLeast"/>
      <w:ind w:left="0" w:firstLine="0"/>
      <w:jc w:val="both"/>
    </w:pPr>
    <w:rPr>
      <w:rFonts w:ascii="Arial" w:eastAsia="Times New Roman" w:hAnsi="Arial" w:cs="Times New Roman"/>
      <w:szCs w:val="24"/>
      <w:lang w:eastAsia="en-GB"/>
    </w:rPr>
  </w:style>
  <w:style w:type="paragraph" w:customStyle="1" w:styleId="BTNumbList2">
    <w:name w:val="BTNumbList2"/>
    <w:basedOn w:val="BodyText"/>
    <w:uiPriority w:val="1"/>
    <w:qFormat/>
    <w:rsid w:val="00FF04C9"/>
    <w:pPr>
      <w:numPr>
        <w:ilvl w:val="5"/>
        <w:numId w:val="25"/>
      </w:numPr>
      <w:tabs>
        <w:tab w:val="clear" w:pos="1361"/>
        <w:tab w:val="num" w:pos="360"/>
      </w:tabs>
      <w:spacing w:after="240" w:line="240" w:lineRule="atLeast"/>
      <w:ind w:left="0" w:firstLine="0"/>
      <w:jc w:val="both"/>
    </w:pPr>
    <w:rPr>
      <w:rFonts w:ascii="Arial" w:eastAsia="Times New Roman" w:hAnsi="Arial" w:cs="Times New Roman"/>
      <w:szCs w:val="24"/>
      <w:lang w:eastAsia="en-GB"/>
    </w:rPr>
  </w:style>
  <w:style w:type="paragraph" w:customStyle="1" w:styleId="Heading1Text">
    <w:name w:val="Heading 1Text"/>
    <w:basedOn w:val="Normal"/>
    <w:uiPriority w:val="9"/>
    <w:qFormat/>
    <w:rsid w:val="00FF04C9"/>
    <w:pPr>
      <w:numPr>
        <w:numId w:val="25"/>
      </w:numPr>
      <w:spacing w:line="240" w:lineRule="atLeast"/>
      <w:jc w:val="both"/>
    </w:pPr>
    <w:rPr>
      <w:rFonts w:ascii="Arial" w:eastAsia="Times New Roman" w:hAnsi="Arial" w:cs="Times New Roman"/>
      <w:szCs w:val="24"/>
      <w:lang w:eastAsia="en-GB"/>
    </w:rPr>
  </w:style>
  <w:style w:type="paragraph" w:customStyle="1" w:styleId="Heading2Text">
    <w:name w:val="Heading 2Text"/>
    <w:basedOn w:val="Normal"/>
    <w:uiPriority w:val="1"/>
    <w:qFormat/>
    <w:rsid w:val="00FF04C9"/>
    <w:pPr>
      <w:numPr>
        <w:ilvl w:val="1"/>
        <w:numId w:val="25"/>
      </w:numPr>
      <w:spacing w:line="240" w:lineRule="atLeast"/>
      <w:jc w:val="both"/>
    </w:pPr>
    <w:rPr>
      <w:rFonts w:ascii="Arial" w:eastAsia="Times New Roman" w:hAnsi="Arial" w:cs="Times New Roman"/>
      <w:szCs w:val="24"/>
      <w:lang w:eastAsia="en-GB"/>
    </w:rPr>
  </w:style>
  <w:style w:type="paragraph" w:customStyle="1" w:styleId="Heading3Text">
    <w:name w:val="Heading 3Text"/>
    <w:basedOn w:val="Normal"/>
    <w:uiPriority w:val="1"/>
    <w:qFormat/>
    <w:rsid w:val="00FF04C9"/>
    <w:pPr>
      <w:numPr>
        <w:ilvl w:val="2"/>
        <w:numId w:val="25"/>
      </w:numPr>
      <w:spacing w:line="240" w:lineRule="atLeast"/>
      <w:jc w:val="both"/>
    </w:pPr>
    <w:rPr>
      <w:rFonts w:ascii="Arial" w:eastAsia="Times New Roman" w:hAnsi="Arial" w:cs="Times New Roman"/>
      <w:szCs w:val="24"/>
      <w:lang w:eastAsia="en-GB"/>
    </w:rPr>
  </w:style>
  <w:style w:type="paragraph" w:customStyle="1" w:styleId="Heading4Text">
    <w:name w:val="Heading 4Text"/>
    <w:basedOn w:val="Heading4"/>
    <w:uiPriority w:val="1"/>
    <w:qFormat/>
    <w:rsid w:val="00FF04C9"/>
    <w:pPr>
      <w:keepNext w:val="0"/>
      <w:keepLines w:val="0"/>
      <w:numPr>
        <w:ilvl w:val="3"/>
        <w:numId w:val="25"/>
      </w:numPr>
      <w:spacing w:before="0" w:after="240" w:line="240" w:lineRule="atLeast"/>
    </w:pPr>
    <w:rPr>
      <w:rFonts w:ascii="Arial" w:hAnsi="Arial"/>
      <w:b w:val="0"/>
      <w:i w:val="0"/>
      <w:color w:val="auto"/>
      <w:szCs w:val="24"/>
      <w:lang w:eastAsia="en-GB"/>
    </w:rPr>
  </w:style>
  <w:style w:type="numbering" w:customStyle="1" w:styleId="NumbLstMain">
    <w:name w:val="NumbLstMain"/>
    <w:uiPriority w:val="99"/>
    <w:rsid w:val="00FF04C9"/>
    <w:pPr>
      <w:numPr>
        <w:numId w:val="25"/>
      </w:numPr>
    </w:pPr>
  </w:style>
  <w:style w:type="paragraph" w:styleId="BodyText">
    <w:name w:val="Body Text"/>
    <w:basedOn w:val="Normal"/>
    <w:link w:val="BodyTextChar"/>
    <w:uiPriority w:val="99"/>
    <w:semiHidden/>
    <w:unhideWhenUsed/>
    <w:rsid w:val="00FF04C9"/>
    <w:pPr>
      <w:spacing w:after="120"/>
    </w:pPr>
  </w:style>
  <w:style w:type="character" w:customStyle="1" w:styleId="BodyTextChar">
    <w:name w:val="Body Text Char"/>
    <w:basedOn w:val="DefaultParagraphFont"/>
    <w:link w:val="BodyText"/>
    <w:uiPriority w:val="99"/>
    <w:semiHidden/>
    <w:rsid w:val="00FF04C9"/>
    <w:rPr>
      <w:sz w:val="20"/>
    </w:rPr>
  </w:style>
  <w:style w:type="character" w:styleId="Hyperlink">
    <w:name w:val="Hyperlink"/>
    <w:basedOn w:val="DefaultParagraphFont"/>
    <w:uiPriority w:val="99"/>
    <w:unhideWhenUsed/>
    <w:rsid w:val="00262B63"/>
    <w:rPr>
      <w:color w:val="037674" w:themeColor="hyperlink"/>
      <w:u w:val="single"/>
    </w:rPr>
  </w:style>
  <w:style w:type="character" w:styleId="UnresolvedMention">
    <w:name w:val="Unresolved Mention"/>
    <w:basedOn w:val="DefaultParagraphFont"/>
    <w:uiPriority w:val="99"/>
    <w:semiHidden/>
    <w:unhideWhenUsed/>
    <w:rsid w:val="00262B63"/>
    <w:rPr>
      <w:color w:val="605E5C"/>
      <w:shd w:val="clear" w:color="auto" w:fill="E1DFDD"/>
    </w:rPr>
  </w:style>
  <w:style w:type="table" w:customStyle="1" w:styleId="Bidwells1">
    <w:name w:val="Bidwells1"/>
    <w:basedOn w:val="TableNormal"/>
    <w:uiPriority w:val="99"/>
    <w:rsid w:val="002C1F82"/>
    <w:pPr>
      <w:spacing w:before="60" w:after="60"/>
    </w:pPr>
    <w:rPr>
      <w:color w:val="000000" w:themeColor="text1"/>
      <w:sz w:val="20"/>
      <w:szCs w:val="20"/>
    </w:rPr>
    <w:tblPr>
      <w:tblStyleRowBandSize w:val="1"/>
      <w:tblBorders>
        <w:left w:val="single" w:sz="2" w:space="0" w:color="152359" w:themeColor="text2"/>
        <w:bottom w:val="single" w:sz="4" w:space="0" w:color="152359" w:themeColor="text2"/>
        <w:right w:val="single" w:sz="2" w:space="0" w:color="152359" w:themeColor="text2"/>
        <w:insideH w:val="single" w:sz="2" w:space="0" w:color="152359" w:themeColor="text2"/>
        <w:insideV w:val="single" w:sz="2" w:space="0" w:color="152359" w:themeColor="text2"/>
      </w:tblBorders>
    </w:tblPr>
    <w:tblStylePr w:type="firstRow">
      <w:pPr>
        <w:jc w:val="left"/>
      </w:pPr>
      <w:rPr>
        <w:b/>
        <w:caps/>
        <w:smallCaps w:val="0"/>
        <w:strike w:val="0"/>
        <w:dstrike w:val="0"/>
        <w:vanish w:val="0"/>
        <w:color w:val="ABD8ED" w:themeColor="accent2"/>
        <w:vertAlign w:val="baseline"/>
      </w:rPr>
      <w:tblPr/>
      <w:tcPr>
        <w:shd w:val="clear" w:color="auto" w:fill="152359" w:themeFill="text2"/>
        <w:vAlign w:val="bottom"/>
      </w:tcPr>
    </w:tblStylePr>
    <w:tblStylePr w:type="lastRow">
      <w:rPr>
        <w:b/>
        <w:caps/>
        <w:smallCaps w:val="0"/>
        <w:strike w:val="0"/>
        <w:dstrike w:val="0"/>
        <w:vanish w:val="0"/>
        <w:color w:val="152359" w:themeColor="text2"/>
        <w:vertAlign w:val="baseline"/>
      </w:rPr>
      <w:tblPr/>
      <w:tcPr>
        <w:shd w:val="clear" w:color="auto" w:fill="ABD8ED" w:themeFill="accent2"/>
      </w:tcPr>
    </w:tblStylePr>
    <w:tblStylePr w:type="firstCol">
      <w:rPr>
        <w:b/>
      </w:rPr>
    </w:tblStylePr>
    <w:tblStylePr w:type="band1Horz">
      <w:tblPr/>
      <w:tcPr>
        <w:shd w:val="clear" w:color="auto" w:fill="EEECE1"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9210052">
      <w:bodyDiv w:val="1"/>
      <w:marLeft w:val="0"/>
      <w:marRight w:val="0"/>
      <w:marTop w:val="0"/>
      <w:marBottom w:val="0"/>
      <w:divBdr>
        <w:top w:val="none" w:sz="0" w:space="0" w:color="auto"/>
        <w:left w:val="none" w:sz="0" w:space="0" w:color="auto"/>
        <w:bottom w:val="none" w:sz="0" w:space="0" w:color="auto"/>
        <w:right w:val="none" w:sz="0" w:space="0" w:color="auto"/>
      </w:divBdr>
    </w:div>
    <w:div w:id="1879901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planningpolicy@bedford.gov.uk"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hyperlink" Target="mailto:planningforthefuture@bedford.gov.uk" TargetMode="External"/><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settings.xml.rels><?xml version="1.0" encoding="UTF-8" standalone="yes"?>
<Relationships xmlns="http://schemas.openxmlformats.org/package/2006/relationships"><Relationship Id="rId1" Type="http://schemas.openxmlformats.org/officeDocument/2006/relationships/attachedTemplate" Target="file:///I:\OfficeTemplates\Letter%20Milton%20Keynes.dotx" TargetMode="External"/></Relationships>
</file>

<file path=word/theme/theme1.xml><?xml version="1.0" encoding="utf-8"?>
<a:theme xmlns:a="http://schemas.openxmlformats.org/drawingml/2006/main" name="Bidwells new">
  <a:themeElements>
    <a:clrScheme name="Bidwells">
      <a:dk1>
        <a:sysClr val="windowText" lastClr="000000"/>
      </a:dk1>
      <a:lt1>
        <a:sysClr val="window" lastClr="FFFFFF"/>
      </a:lt1>
      <a:dk2>
        <a:srgbClr val="152359"/>
      </a:dk2>
      <a:lt2>
        <a:srgbClr val="EEECE1"/>
      </a:lt2>
      <a:accent1>
        <a:srgbClr val="152359"/>
      </a:accent1>
      <a:accent2>
        <a:srgbClr val="ABD8ED"/>
      </a:accent2>
      <a:accent3>
        <a:srgbClr val="E3F3FB"/>
      </a:accent3>
      <a:accent4>
        <a:srgbClr val="63BFB5"/>
      </a:accent4>
      <a:accent5>
        <a:srgbClr val="E8CCA2"/>
      </a:accent5>
      <a:accent6>
        <a:srgbClr val="E83C4E"/>
      </a:accent6>
      <a:hlink>
        <a:srgbClr val="037674"/>
      </a:hlink>
      <a:folHlink>
        <a:srgbClr val="962029"/>
      </a:folHlink>
    </a:clrScheme>
    <a:fontScheme name="Bidwel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28dda4f-9ca8-4807-b574-2e8b1247add3">
      <Terms xmlns="http://schemas.microsoft.com/office/infopath/2007/PartnerControls"/>
    </lcf76f155ced4ddcb4097134ff3c332f>
    <TaxCatchAll xmlns="d2fae435-cdb4-4dec-a874-f72c4d84133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BD523BAC3D40F47923696F173D7EFD5" ma:contentTypeVersion="15" ma:contentTypeDescription="Create a new document." ma:contentTypeScope="" ma:versionID="04f9c5b939b56b7efc2cd55d93c5aeaa">
  <xsd:schema xmlns:xsd="http://www.w3.org/2001/XMLSchema" xmlns:xs="http://www.w3.org/2001/XMLSchema" xmlns:p="http://schemas.microsoft.com/office/2006/metadata/properties" xmlns:ns2="428dda4f-9ca8-4807-b574-2e8b1247add3" xmlns:ns3="d2fae435-cdb4-4dec-a874-f72c4d841335" targetNamespace="http://schemas.microsoft.com/office/2006/metadata/properties" ma:root="true" ma:fieldsID="09a7201c333fefcd92a9043d15fba8a0" ns2:_="" ns3:_="">
    <xsd:import namespace="428dda4f-9ca8-4807-b574-2e8b1247add3"/>
    <xsd:import namespace="d2fae435-cdb4-4dec-a874-f72c4d84133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8dda4f-9ca8-4807-b574-2e8b1247ad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0260833-5547-4c72-9a28-4b15dc91332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2fae435-cdb4-4dec-a874-f72c4d84133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20e4829-06b7-4ac8-9d01-3ba6f1b0ce84}" ma:internalName="TaxCatchAll" ma:showField="CatchAllData" ma:web="d2fae435-cdb4-4dec-a874-f72c4d8413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82CC527-2EB7-4ACC-92C1-6AF959713F29}">
  <ds:schemaRefs>
    <ds:schemaRef ds:uri="http://schemas.microsoft.com/sharepoint/v3/contenttype/forms"/>
  </ds:schemaRefs>
</ds:datastoreItem>
</file>

<file path=customXml/itemProps2.xml><?xml version="1.0" encoding="utf-8"?>
<ds:datastoreItem xmlns:ds="http://schemas.openxmlformats.org/officeDocument/2006/customXml" ds:itemID="{2CCAB17B-F5DC-4475-9A39-460F8553F611}">
  <ds:schemaRefs>
    <ds:schemaRef ds:uri="http://schemas.microsoft.com/office/2006/metadata/properties"/>
    <ds:schemaRef ds:uri="http://schemas.microsoft.com/office/infopath/2007/PartnerControls"/>
    <ds:schemaRef ds:uri="428dda4f-9ca8-4807-b574-2e8b1247add3"/>
    <ds:schemaRef ds:uri="d2fae435-cdb4-4dec-a874-f72c4d841335"/>
  </ds:schemaRefs>
</ds:datastoreItem>
</file>

<file path=customXml/itemProps3.xml><?xml version="1.0" encoding="utf-8"?>
<ds:datastoreItem xmlns:ds="http://schemas.openxmlformats.org/officeDocument/2006/customXml" ds:itemID="{824C215E-19F9-45EB-9E2A-E741F748E9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8dda4f-9ca8-4807-b574-2e8b1247add3"/>
    <ds:schemaRef ds:uri="d2fae435-cdb4-4dec-a874-f72c4d8413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Letter Milton Keynes</Template>
  <TotalTime>0</TotalTime>
  <Pages>12</Pages>
  <Words>4473</Words>
  <Characters>25502</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roebuck</Company>
  <LinksUpToDate>false</LinksUpToDate>
  <CharactersWithSpaces>29916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Stacey@roebuckland.co.uk</dc:creator>
  <cp:lastModifiedBy>Stacey Rawlings</cp:lastModifiedBy>
  <cp:revision>2</cp:revision>
  <cp:lastPrinted>2022-07-29T12:04:00Z</cp:lastPrinted>
  <dcterms:created xsi:type="dcterms:W3CDTF">2022-07-29T12:54:00Z</dcterms:created>
  <dcterms:modified xsi:type="dcterms:W3CDTF">2022-07-29T12:54:00Z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0x010100CBD523BAC3D40F47923696F173D7EFD5</vt:lpwstr>
  </property>
  <property fmtid="{D5CDD505-2E9C-101B-9397-08002B2CF9AE}" pid="3" name="AuthorIds_UIVersion_1024">
    <vt:lpwstr>11</vt:lpwstr>
  </property>
  <property fmtid="{D5CDD505-2E9C-101B-9397-08002B2CF9AE}" pid="4" name="MediaServiceImageTags">
    <vt:lpwstr/>
  </property>
</Properties>
</file>