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B15A3" w14:textId="77777777" w:rsidR="009C0112" w:rsidRPr="009C0112" w:rsidRDefault="00AC57B0" w:rsidP="00040E9E">
      <w:pPr>
        <w:pStyle w:val="NoSpacing"/>
      </w:pPr>
      <w:r w:rsidRPr="00AC57B0">
        <w:rPr>
          <w:noProof/>
          <w:lang w:val="en-GB" w:eastAsia="en-GB"/>
        </w:rPr>
        <w:drawing>
          <wp:inline distT="0" distB="0" distL="0" distR="0" wp14:anchorId="6E6FD37F" wp14:editId="5311A1C7">
            <wp:extent cx="2179351" cy="77697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28626" cy="794543"/>
                    </a:xfrm>
                    <a:prstGeom prst="rect">
                      <a:avLst/>
                    </a:prstGeom>
                  </pic:spPr>
                </pic:pic>
              </a:graphicData>
            </a:graphic>
          </wp:inline>
        </w:drawing>
      </w:r>
    </w:p>
    <w:p w14:paraId="71B9DCF6" w14:textId="77777777" w:rsidR="00AC57B0" w:rsidRDefault="00AC57B0" w:rsidP="006F6C62">
      <w:pPr>
        <w:rPr>
          <w:rFonts w:ascii="Arial" w:hAnsi="Arial" w:cs="Arial"/>
          <w:b/>
          <w:sz w:val="28"/>
          <w:szCs w:val="28"/>
        </w:rPr>
      </w:pPr>
    </w:p>
    <w:p w14:paraId="025EC5E7" w14:textId="77777777" w:rsidR="006F6C62" w:rsidRPr="006F6C62" w:rsidRDefault="006F6C62" w:rsidP="006F6C62">
      <w:pPr>
        <w:rPr>
          <w:rFonts w:ascii="Arial" w:hAnsi="Arial" w:cs="Arial"/>
          <w:b/>
          <w:sz w:val="28"/>
          <w:szCs w:val="28"/>
        </w:rPr>
      </w:pPr>
      <w:r>
        <w:rPr>
          <w:noProof/>
          <w:lang w:val="en-GB" w:eastAsia="en-GB"/>
        </w:rPr>
        <w:drawing>
          <wp:anchor distT="0" distB="0" distL="0" distR="0" simplePos="0" relativeHeight="251659264" behindDoc="1" locked="1" layoutInCell="1" allowOverlap="1" wp14:anchorId="667825D5" wp14:editId="2A5054B7">
            <wp:simplePos x="0" y="0"/>
            <wp:positionH relativeFrom="page">
              <wp:posOffset>4117975</wp:posOffset>
            </wp:positionH>
            <wp:positionV relativeFrom="margin">
              <wp:align>top</wp:align>
            </wp:positionV>
            <wp:extent cx="2596515" cy="890270"/>
            <wp:effectExtent l="0" t="0" r="0" b="508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596515" cy="890270"/>
                    </a:xfrm>
                    <a:prstGeom prst="rect">
                      <a:avLst/>
                    </a:prstGeom>
                  </pic:spPr>
                </pic:pic>
              </a:graphicData>
            </a:graphic>
            <wp14:sizeRelH relativeFrom="margin">
              <wp14:pctWidth>0</wp14:pctWidth>
            </wp14:sizeRelH>
            <wp14:sizeRelV relativeFrom="margin">
              <wp14:pctHeight>0</wp14:pctHeight>
            </wp14:sizeRelV>
          </wp:anchor>
        </w:drawing>
      </w:r>
      <w:r w:rsidRPr="006F6C62">
        <w:rPr>
          <w:rFonts w:ascii="Arial" w:hAnsi="Arial" w:cs="Arial"/>
          <w:b/>
          <w:sz w:val="28"/>
          <w:szCs w:val="28"/>
        </w:rPr>
        <w:t>Representation form for the Bedford Borough Local Plan 2040: Plan for Submission (Regulation 19 publication stage)</w:t>
      </w:r>
    </w:p>
    <w:p w14:paraId="08DADE34" w14:textId="77777777" w:rsidR="006F6C62" w:rsidRPr="000B09FB" w:rsidRDefault="006F6C62" w:rsidP="006F6C62">
      <w:pPr>
        <w:rPr>
          <w:rFonts w:ascii="Arial" w:hAnsi="Arial" w:cs="Arial"/>
          <w:sz w:val="20"/>
          <w:szCs w:val="20"/>
        </w:rPr>
      </w:pPr>
    </w:p>
    <w:p w14:paraId="4F8B159B" w14:textId="77777777" w:rsidR="003E16F1" w:rsidRPr="003E16F1" w:rsidRDefault="006F6C62">
      <w:pPr>
        <w:rPr>
          <w:rFonts w:ascii="Arial" w:hAnsi="Arial" w:cs="Arial"/>
          <w:b/>
        </w:rPr>
      </w:pPr>
      <w:r w:rsidRPr="003E16F1">
        <w:rPr>
          <w:rFonts w:ascii="Arial" w:hAnsi="Arial" w:cs="Arial"/>
          <w:b/>
        </w:rPr>
        <w:t xml:space="preserve">Please refer to the </w:t>
      </w:r>
      <w:hyperlink r:id="rId11" w:history="1">
        <w:r w:rsidRPr="008441DE">
          <w:rPr>
            <w:rStyle w:val="Hyperlink"/>
            <w:rFonts w:ascii="Arial" w:hAnsi="Arial" w:cs="Arial"/>
            <w:b/>
          </w:rPr>
          <w:t>guidance notes</w:t>
        </w:r>
      </w:hyperlink>
      <w:r w:rsidRPr="003E16F1">
        <w:rPr>
          <w:rFonts w:ascii="Arial" w:hAnsi="Arial" w:cs="Arial"/>
          <w:b/>
        </w:rPr>
        <w:t xml:space="preserve"> availa</w:t>
      </w:r>
      <w:r w:rsidR="003E16F1" w:rsidRPr="003E16F1">
        <w:rPr>
          <w:rFonts w:ascii="Arial" w:hAnsi="Arial" w:cs="Arial"/>
          <w:b/>
        </w:rPr>
        <w:t xml:space="preserve">ble before completing this form. </w:t>
      </w:r>
    </w:p>
    <w:p w14:paraId="25C8CC4B" w14:textId="77777777" w:rsidR="006F6C62" w:rsidRPr="003E16F1" w:rsidRDefault="003E16F1">
      <w:pPr>
        <w:rPr>
          <w:rFonts w:ascii="Arial" w:hAnsi="Arial" w:cs="Arial"/>
          <w:b/>
        </w:rPr>
      </w:pPr>
      <w:r w:rsidRPr="003E16F1">
        <w:rPr>
          <w:rFonts w:ascii="Arial" w:hAnsi="Arial" w:cs="Arial"/>
          <w:b/>
        </w:rPr>
        <w:t xml:space="preserve">Please return to Bedford Borough Council </w:t>
      </w:r>
      <w:r w:rsidR="00A008E2">
        <w:rPr>
          <w:rFonts w:ascii="Arial" w:hAnsi="Arial" w:cs="Arial"/>
          <w:b/>
        </w:rPr>
        <w:t>by</w:t>
      </w:r>
      <w:r w:rsidRPr="003E16F1">
        <w:rPr>
          <w:rFonts w:ascii="Arial" w:hAnsi="Arial" w:cs="Arial"/>
          <w:b/>
        </w:rPr>
        <w:t xml:space="preserve"> </w:t>
      </w:r>
      <w:r w:rsidRPr="00A008E2">
        <w:rPr>
          <w:rFonts w:ascii="Arial" w:hAnsi="Arial" w:cs="Arial"/>
          <w:b/>
          <w:u w:val="single"/>
        </w:rPr>
        <w:t>5pm on 29</w:t>
      </w:r>
      <w:r w:rsidRPr="00A008E2">
        <w:rPr>
          <w:rFonts w:ascii="Arial" w:hAnsi="Arial" w:cs="Arial"/>
          <w:b/>
          <w:u w:val="single"/>
          <w:vertAlign w:val="superscript"/>
        </w:rPr>
        <w:t>th</w:t>
      </w:r>
      <w:r w:rsidRPr="00A008E2">
        <w:rPr>
          <w:rFonts w:ascii="Arial" w:hAnsi="Arial" w:cs="Arial"/>
          <w:b/>
          <w:u w:val="single"/>
        </w:rPr>
        <w:t xml:space="preserve"> July 2022</w:t>
      </w:r>
      <w:r>
        <w:rPr>
          <w:rFonts w:ascii="Arial" w:hAnsi="Arial" w:cs="Arial"/>
          <w:b/>
        </w:rPr>
        <w:t>.</w:t>
      </w:r>
    </w:p>
    <w:p w14:paraId="23522081" w14:textId="77777777" w:rsidR="006F6C62" w:rsidRPr="000B09FB" w:rsidRDefault="006F6C62">
      <w:pPr>
        <w:rPr>
          <w:rFonts w:ascii="Arial" w:hAnsi="Arial" w:cs="Arial"/>
          <w:sz w:val="20"/>
          <w:szCs w:val="20"/>
        </w:rPr>
      </w:pPr>
    </w:p>
    <w:p w14:paraId="20B5C4BD" w14:textId="77777777" w:rsidR="006F6C62" w:rsidRPr="00DF1B1D" w:rsidRDefault="006F6C62" w:rsidP="006F6C62">
      <w:pPr>
        <w:rPr>
          <w:rFonts w:ascii="Arial" w:hAnsi="Arial" w:cs="Arial"/>
          <w:sz w:val="20"/>
          <w:szCs w:val="20"/>
        </w:rPr>
      </w:pPr>
      <w:r w:rsidRPr="00DF1B1D">
        <w:rPr>
          <w:rFonts w:ascii="Arial" w:hAnsi="Arial" w:cs="Arial"/>
          <w:sz w:val="20"/>
          <w:szCs w:val="20"/>
        </w:rPr>
        <w:t>This form has two parts –</w:t>
      </w:r>
    </w:p>
    <w:p w14:paraId="78495242" w14:textId="77777777" w:rsidR="006F6C62" w:rsidRPr="00DF1B1D" w:rsidRDefault="006F6C62" w:rsidP="006F6C62">
      <w:pPr>
        <w:rPr>
          <w:rFonts w:ascii="Arial" w:hAnsi="Arial" w:cs="Arial"/>
          <w:sz w:val="20"/>
          <w:szCs w:val="20"/>
        </w:rPr>
      </w:pPr>
      <w:r w:rsidRPr="00DF1B1D">
        <w:rPr>
          <w:rFonts w:ascii="Arial" w:hAnsi="Arial" w:cs="Arial"/>
          <w:sz w:val="20"/>
          <w:szCs w:val="20"/>
        </w:rPr>
        <w:t xml:space="preserve">Part A – Personal </w:t>
      </w:r>
      <w:r w:rsidR="00BB3056" w:rsidRPr="00DF1B1D">
        <w:rPr>
          <w:rFonts w:ascii="Arial" w:hAnsi="Arial" w:cs="Arial"/>
          <w:sz w:val="20"/>
          <w:szCs w:val="20"/>
        </w:rPr>
        <w:t>d</w:t>
      </w:r>
      <w:r w:rsidRPr="00DF1B1D">
        <w:rPr>
          <w:rFonts w:ascii="Arial" w:hAnsi="Arial" w:cs="Arial"/>
          <w:sz w:val="20"/>
          <w:szCs w:val="20"/>
        </w:rPr>
        <w:t>etails:  need only be completed once.</w:t>
      </w:r>
    </w:p>
    <w:p w14:paraId="2FE5B8BF" w14:textId="77777777" w:rsidR="006F6C62" w:rsidRPr="00DF1B1D" w:rsidRDefault="006F6C62" w:rsidP="006F6C62">
      <w:pPr>
        <w:rPr>
          <w:rFonts w:ascii="Arial" w:hAnsi="Arial" w:cs="Arial"/>
          <w:sz w:val="20"/>
          <w:szCs w:val="20"/>
        </w:rPr>
      </w:pPr>
      <w:r w:rsidRPr="00DF1B1D">
        <w:rPr>
          <w:rFonts w:ascii="Arial" w:hAnsi="Arial" w:cs="Arial"/>
          <w:sz w:val="20"/>
          <w:szCs w:val="20"/>
        </w:rPr>
        <w:t>Part B – Your representation(s).  Please fill in a separate sheet for each representation you wish to make.</w:t>
      </w:r>
    </w:p>
    <w:p w14:paraId="1AED3A27" w14:textId="77777777" w:rsidR="006F6C62" w:rsidRPr="000B09FB" w:rsidRDefault="006F6C62" w:rsidP="006F6C62">
      <w:pPr>
        <w:rPr>
          <w:rFonts w:ascii="Arial" w:hAnsi="Arial" w:cs="Arial"/>
          <w:sz w:val="20"/>
          <w:szCs w:val="20"/>
        </w:rPr>
      </w:pPr>
    </w:p>
    <w:tbl>
      <w:tblPr>
        <w:tblW w:w="8777" w:type="dxa"/>
        <w:tblInd w:w="-209" w:type="dxa"/>
        <w:tblCellMar>
          <w:left w:w="10" w:type="dxa"/>
          <w:right w:w="10" w:type="dxa"/>
        </w:tblCellMar>
        <w:tblLook w:val="04A0" w:firstRow="1" w:lastRow="0" w:firstColumn="1" w:lastColumn="0" w:noHBand="0" w:noVBand="1"/>
      </w:tblPr>
      <w:tblGrid>
        <w:gridCol w:w="2086"/>
        <w:gridCol w:w="1710"/>
        <w:gridCol w:w="673"/>
        <w:gridCol w:w="713"/>
        <w:gridCol w:w="283"/>
        <w:gridCol w:w="284"/>
        <w:gridCol w:w="3028"/>
      </w:tblGrid>
      <w:tr w:rsidR="005E0EB6" w:rsidRPr="005E0EB6" w14:paraId="7742A347" w14:textId="77777777" w:rsidTr="007E61ED">
        <w:trPr>
          <w:cantSplit/>
          <w:trHeight w:val="157"/>
        </w:trPr>
        <w:tc>
          <w:tcPr>
            <w:tcW w:w="8777" w:type="dxa"/>
            <w:gridSpan w:val="7"/>
            <w:tcBorders>
              <w:top w:val="single" w:sz="4" w:space="0" w:color="000000"/>
              <w:left w:val="nil"/>
              <w:bottom w:val="double" w:sz="4" w:space="0" w:color="000000"/>
              <w:right w:val="nil"/>
            </w:tcBorders>
            <w:noWrap/>
            <w:tcMar>
              <w:top w:w="0" w:type="dxa"/>
              <w:left w:w="108" w:type="dxa"/>
              <w:bottom w:w="0" w:type="dxa"/>
              <w:right w:w="108" w:type="dxa"/>
            </w:tcMar>
            <w:vAlign w:val="bottom"/>
          </w:tcPr>
          <w:p w14:paraId="19DC9794" w14:textId="77777777" w:rsidR="005E0EB6" w:rsidRDefault="005E0EB6" w:rsidP="005E0EB6">
            <w:pPr>
              <w:rPr>
                <w:rFonts w:ascii="Arial" w:hAnsi="Arial" w:cs="Arial"/>
                <w:b/>
                <w:sz w:val="24"/>
                <w:szCs w:val="24"/>
                <w:lang w:val="en-GB"/>
              </w:rPr>
            </w:pPr>
            <w:bookmarkStart w:id="0" w:name="_Toc364432883"/>
            <w:r w:rsidRPr="005E0EB6">
              <w:rPr>
                <w:rFonts w:ascii="Arial" w:hAnsi="Arial" w:cs="Arial"/>
                <w:b/>
                <w:sz w:val="24"/>
                <w:szCs w:val="24"/>
                <w:lang w:val="en-GB"/>
              </w:rPr>
              <w:t>Part A</w:t>
            </w:r>
            <w:bookmarkEnd w:id="0"/>
          </w:p>
          <w:p w14:paraId="3EAFBF17" w14:textId="77777777" w:rsidR="000B09FB" w:rsidRPr="000B09FB" w:rsidRDefault="000B09FB" w:rsidP="005E0EB6">
            <w:pPr>
              <w:rPr>
                <w:rFonts w:ascii="Arial" w:hAnsi="Arial" w:cs="Arial"/>
                <w:b/>
                <w:sz w:val="20"/>
                <w:szCs w:val="20"/>
                <w:lang w:val="en-GB"/>
              </w:rPr>
            </w:pPr>
          </w:p>
        </w:tc>
      </w:tr>
      <w:tr w:rsidR="005E0EB6" w:rsidRPr="005E0EB6" w14:paraId="05DD7973" w14:textId="77777777" w:rsidTr="007E61ED">
        <w:trPr>
          <w:cantSplit/>
          <w:trHeight w:val="222"/>
        </w:trPr>
        <w:tc>
          <w:tcPr>
            <w:tcW w:w="2086" w:type="dxa"/>
            <w:tcBorders>
              <w:top w:val="double" w:sz="4" w:space="0" w:color="000000"/>
              <w:left w:val="nil"/>
              <w:bottom w:val="nil"/>
              <w:right w:val="nil"/>
            </w:tcBorders>
            <w:noWrap/>
            <w:tcMar>
              <w:top w:w="0" w:type="dxa"/>
              <w:left w:w="108" w:type="dxa"/>
              <w:bottom w:w="0" w:type="dxa"/>
              <w:right w:w="108" w:type="dxa"/>
            </w:tcMar>
            <w:vAlign w:val="bottom"/>
            <w:hideMark/>
          </w:tcPr>
          <w:p w14:paraId="527ED766" w14:textId="77777777" w:rsidR="005E0EB6" w:rsidRPr="005E0EB6" w:rsidRDefault="00BB3056" w:rsidP="005E0EB6">
            <w:pPr>
              <w:rPr>
                <w:rFonts w:ascii="Arial" w:hAnsi="Arial" w:cs="Arial"/>
                <w:bCs/>
                <w:sz w:val="20"/>
                <w:szCs w:val="20"/>
                <w:lang w:val="en-GB"/>
              </w:rPr>
            </w:pPr>
            <w:r>
              <w:rPr>
                <w:rFonts w:ascii="Arial" w:hAnsi="Arial" w:cs="Arial"/>
                <w:bCs/>
                <w:sz w:val="20"/>
                <w:szCs w:val="20"/>
                <w:lang w:val="en-GB"/>
              </w:rPr>
              <w:t>1. Personal d</w:t>
            </w:r>
            <w:r w:rsidR="005E0EB6" w:rsidRPr="005E0EB6">
              <w:rPr>
                <w:rFonts w:ascii="Arial" w:hAnsi="Arial" w:cs="Arial"/>
                <w:bCs/>
                <w:sz w:val="20"/>
                <w:szCs w:val="20"/>
                <w:lang w:val="en-GB"/>
              </w:rPr>
              <w:t>etails*</w:t>
            </w:r>
          </w:p>
        </w:tc>
        <w:tc>
          <w:tcPr>
            <w:tcW w:w="1710" w:type="dxa"/>
            <w:tcBorders>
              <w:top w:val="double" w:sz="4" w:space="0" w:color="000000"/>
              <w:left w:val="nil"/>
              <w:bottom w:val="nil"/>
              <w:right w:val="nil"/>
            </w:tcBorders>
            <w:noWrap/>
            <w:tcMar>
              <w:top w:w="0" w:type="dxa"/>
              <w:left w:w="108" w:type="dxa"/>
              <w:bottom w:w="0" w:type="dxa"/>
              <w:right w:w="108" w:type="dxa"/>
            </w:tcMar>
            <w:vAlign w:val="bottom"/>
          </w:tcPr>
          <w:p w14:paraId="671A4097" w14:textId="77777777" w:rsidR="005E0EB6" w:rsidRPr="005E0EB6" w:rsidRDefault="005E0EB6" w:rsidP="005E0EB6">
            <w:pPr>
              <w:rPr>
                <w:rFonts w:ascii="Arial" w:hAnsi="Arial" w:cs="Arial"/>
                <w:sz w:val="20"/>
                <w:szCs w:val="20"/>
                <w:lang w:val="en-GB"/>
              </w:rPr>
            </w:pPr>
          </w:p>
        </w:tc>
        <w:tc>
          <w:tcPr>
            <w:tcW w:w="673" w:type="dxa"/>
            <w:tcBorders>
              <w:top w:val="double" w:sz="4" w:space="0" w:color="000000"/>
              <w:left w:val="nil"/>
              <w:bottom w:val="nil"/>
              <w:right w:val="nil"/>
            </w:tcBorders>
            <w:noWrap/>
            <w:tcMar>
              <w:top w:w="0" w:type="dxa"/>
              <w:left w:w="108" w:type="dxa"/>
              <w:bottom w:w="0" w:type="dxa"/>
              <w:right w:w="108" w:type="dxa"/>
            </w:tcMar>
            <w:vAlign w:val="bottom"/>
          </w:tcPr>
          <w:p w14:paraId="752CC734" w14:textId="77777777" w:rsidR="005E0EB6" w:rsidRPr="005E0EB6" w:rsidRDefault="005E0EB6" w:rsidP="005E0EB6">
            <w:pPr>
              <w:rPr>
                <w:rFonts w:ascii="Arial" w:hAnsi="Arial" w:cs="Arial"/>
                <w:sz w:val="20"/>
                <w:szCs w:val="20"/>
                <w:lang w:val="en-GB"/>
              </w:rPr>
            </w:pPr>
          </w:p>
        </w:tc>
        <w:tc>
          <w:tcPr>
            <w:tcW w:w="713" w:type="dxa"/>
            <w:tcBorders>
              <w:top w:val="double" w:sz="4" w:space="0" w:color="000000"/>
              <w:left w:val="nil"/>
              <w:bottom w:val="nil"/>
              <w:right w:val="nil"/>
            </w:tcBorders>
            <w:noWrap/>
            <w:tcMar>
              <w:top w:w="0" w:type="dxa"/>
              <w:left w:w="108" w:type="dxa"/>
              <w:bottom w:w="0" w:type="dxa"/>
              <w:right w:w="108" w:type="dxa"/>
            </w:tcMar>
            <w:vAlign w:val="bottom"/>
          </w:tcPr>
          <w:p w14:paraId="51E31ABD" w14:textId="77777777" w:rsidR="005E0EB6" w:rsidRPr="005E0EB6" w:rsidRDefault="005E0EB6" w:rsidP="005E0EB6">
            <w:pPr>
              <w:rPr>
                <w:rFonts w:ascii="Arial" w:hAnsi="Arial" w:cs="Arial"/>
                <w:sz w:val="20"/>
                <w:szCs w:val="20"/>
                <w:lang w:val="en-GB"/>
              </w:rPr>
            </w:pPr>
          </w:p>
        </w:tc>
        <w:tc>
          <w:tcPr>
            <w:tcW w:w="283" w:type="dxa"/>
            <w:tcBorders>
              <w:top w:val="double" w:sz="4" w:space="0" w:color="000000"/>
              <w:left w:val="nil"/>
              <w:bottom w:val="nil"/>
              <w:right w:val="nil"/>
            </w:tcBorders>
            <w:noWrap/>
            <w:tcMar>
              <w:top w:w="0" w:type="dxa"/>
              <w:left w:w="108" w:type="dxa"/>
              <w:bottom w:w="0" w:type="dxa"/>
              <w:right w:w="108" w:type="dxa"/>
            </w:tcMar>
            <w:vAlign w:val="bottom"/>
          </w:tcPr>
          <w:p w14:paraId="1085A073" w14:textId="77777777" w:rsidR="005E0EB6" w:rsidRPr="005E0EB6" w:rsidRDefault="005E0EB6" w:rsidP="005E0EB6">
            <w:pPr>
              <w:rPr>
                <w:rFonts w:ascii="Arial" w:hAnsi="Arial" w:cs="Arial"/>
                <w:b/>
                <w:bCs/>
                <w:sz w:val="20"/>
                <w:szCs w:val="20"/>
                <w:lang w:val="en-GB"/>
              </w:rPr>
            </w:pPr>
          </w:p>
        </w:tc>
        <w:tc>
          <w:tcPr>
            <w:tcW w:w="284" w:type="dxa"/>
            <w:tcBorders>
              <w:top w:val="double" w:sz="4" w:space="0" w:color="000000"/>
              <w:left w:val="nil"/>
              <w:bottom w:val="nil"/>
              <w:right w:val="nil"/>
            </w:tcBorders>
            <w:noWrap/>
            <w:tcMar>
              <w:top w:w="0" w:type="dxa"/>
              <w:left w:w="108" w:type="dxa"/>
              <w:bottom w:w="0" w:type="dxa"/>
              <w:right w:w="108" w:type="dxa"/>
            </w:tcMar>
            <w:vAlign w:val="bottom"/>
          </w:tcPr>
          <w:p w14:paraId="716922CF" w14:textId="77777777" w:rsidR="005E0EB6" w:rsidRPr="005E0EB6" w:rsidRDefault="005E0EB6" w:rsidP="005E0EB6">
            <w:pPr>
              <w:rPr>
                <w:rFonts w:ascii="Arial" w:hAnsi="Arial" w:cs="Arial"/>
                <w:b/>
                <w:bCs/>
                <w:sz w:val="20"/>
                <w:szCs w:val="20"/>
                <w:lang w:val="en-GB"/>
              </w:rPr>
            </w:pPr>
          </w:p>
        </w:tc>
        <w:tc>
          <w:tcPr>
            <w:tcW w:w="3028" w:type="dxa"/>
            <w:noWrap/>
            <w:tcMar>
              <w:top w:w="0" w:type="dxa"/>
              <w:left w:w="108" w:type="dxa"/>
              <w:bottom w:w="0" w:type="dxa"/>
              <w:right w:w="108" w:type="dxa"/>
            </w:tcMar>
            <w:vAlign w:val="bottom"/>
            <w:hideMark/>
          </w:tcPr>
          <w:p w14:paraId="69694087" w14:textId="77777777" w:rsidR="005E0EB6" w:rsidRPr="005E0EB6" w:rsidRDefault="005E0EB6" w:rsidP="00BB3056">
            <w:pPr>
              <w:rPr>
                <w:rFonts w:ascii="Arial" w:hAnsi="Arial" w:cs="Arial"/>
                <w:bCs/>
                <w:sz w:val="20"/>
                <w:szCs w:val="20"/>
                <w:lang w:val="en-GB"/>
              </w:rPr>
            </w:pPr>
            <w:r w:rsidRPr="005E0EB6">
              <w:rPr>
                <w:rFonts w:ascii="Arial" w:hAnsi="Arial" w:cs="Arial"/>
                <w:bCs/>
                <w:sz w:val="20"/>
                <w:szCs w:val="20"/>
                <w:lang w:val="en-GB"/>
              </w:rPr>
              <w:t xml:space="preserve">2. Agent’s </w:t>
            </w:r>
            <w:r w:rsidR="00BB3056">
              <w:rPr>
                <w:rFonts w:ascii="Arial" w:hAnsi="Arial" w:cs="Arial"/>
                <w:bCs/>
                <w:sz w:val="20"/>
                <w:szCs w:val="20"/>
                <w:lang w:val="en-GB"/>
              </w:rPr>
              <w:t>d</w:t>
            </w:r>
            <w:r w:rsidRPr="005E0EB6">
              <w:rPr>
                <w:rFonts w:ascii="Arial" w:hAnsi="Arial" w:cs="Arial"/>
                <w:bCs/>
                <w:sz w:val="20"/>
                <w:szCs w:val="20"/>
                <w:lang w:val="en-GB"/>
              </w:rPr>
              <w:t>etails (if applicable)</w:t>
            </w:r>
          </w:p>
        </w:tc>
      </w:tr>
      <w:tr w:rsidR="005E0EB6" w:rsidRPr="005E0EB6" w14:paraId="358F56F7" w14:textId="77777777" w:rsidTr="007E61ED">
        <w:trPr>
          <w:cantSplit/>
          <w:trHeight w:val="105"/>
        </w:trPr>
        <w:tc>
          <w:tcPr>
            <w:tcW w:w="8777" w:type="dxa"/>
            <w:gridSpan w:val="7"/>
            <w:noWrap/>
            <w:tcMar>
              <w:top w:w="0" w:type="dxa"/>
              <w:left w:w="108" w:type="dxa"/>
              <w:bottom w:w="0" w:type="dxa"/>
              <w:right w:w="108" w:type="dxa"/>
            </w:tcMar>
            <w:vAlign w:val="bottom"/>
          </w:tcPr>
          <w:p w14:paraId="1C88F4AA"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w:t>
            </w:r>
            <w:r w:rsidRPr="005E0EB6">
              <w:rPr>
                <w:rFonts w:ascii="Arial" w:hAnsi="Arial" w:cs="Arial"/>
                <w:i/>
                <w:sz w:val="20"/>
                <w:szCs w:val="20"/>
                <w:lang w:val="en-GB"/>
              </w:rPr>
              <w:t>If an agent is appointed, please complete only the Title, Name and Organisation (if applicable) boxes below but complete the full contact details of the agent in 2.</w:t>
            </w:r>
            <w:r w:rsidRPr="005E0EB6">
              <w:rPr>
                <w:rFonts w:ascii="Arial" w:hAnsi="Arial" w:cs="Arial"/>
                <w:sz w:val="20"/>
                <w:szCs w:val="20"/>
                <w:lang w:val="en-GB"/>
              </w:rPr>
              <w:t xml:space="preserve">  </w:t>
            </w:r>
          </w:p>
          <w:p w14:paraId="4D1EE6F6" w14:textId="77777777" w:rsidR="005E0EB6" w:rsidRPr="005E0EB6" w:rsidRDefault="005E0EB6" w:rsidP="005E0EB6">
            <w:pPr>
              <w:rPr>
                <w:rFonts w:ascii="Arial" w:hAnsi="Arial" w:cs="Arial"/>
                <w:sz w:val="20"/>
                <w:szCs w:val="20"/>
                <w:lang w:val="en-GB"/>
              </w:rPr>
            </w:pPr>
          </w:p>
        </w:tc>
      </w:tr>
      <w:tr w:rsidR="005E0EB6" w:rsidRPr="005E0EB6" w14:paraId="2F86C3C5" w14:textId="77777777" w:rsidTr="007E61ED">
        <w:trPr>
          <w:cantSplit/>
          <w:trHeight w:val="262"/>
        </w:trPr>
        <w:tc>
          <w:tcPr>
            <w:tcW w:w="2086" w:type="dxa"/>
            <w:noWrap/>
            <w:tcMar>
              <w:top w:w="0" w:type="dxa"/>
              <w:left w:w="108" w:type="dxa"/>
              <w:bottom w:w="0" w:type="dxa"/>
              <w:right w:w="108" w:type="dxa"/>
            </w:tcMar>
            <w:vAlign w:val="center"/>
            <w:hideMark/>
          </w:tcPr>
          <w:p w14:paraId="57081546"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Title</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C250C92" w14:textId="0BCB539D" w:rsidR="005E0EB6" w:rsidRPr="005E0EB6" w:rsidRDefault="005E0EB6" w:rsidP="005E0EB6">
            <w:pPr>
              <w:rPr>
                <w:rFonts w:ascii="Arial" w:hAnsi="Arial" w:cs="Arial"/>
                <w:sz w:val="20"/>
                <w:szCs w:val="20"/>
                <w:lang w:val="en-GB"/>
              </w:rPr>
            </w:pP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64603DB0"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5B2B847E" w14:textId="63D82979"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0E989837" w14:textId="77777777" w:rsidTr="007E61ED">
        <w:trPr>
          <w:cantSplit/>
          <w:trHeight w:val="52"/>
        </w:trPr>
        <w:tc>
          <w:tcPr>
            <w:tcW w:w="5749" w:type="dxa"/>
            <w:gridSpan w:val="6"/>
            <w:noWrap/>
            <w:tcMar>
              <w:top w:w="0" w:type="dxa"/>
              <w:left w:w="108" w:type="dxa"/>
              <w:bottom w:w="0" w:type="dxa"/>
              <w:right w:w="108" w:type="dxa"/>
            </w:tcMar>
            <w:vAlign w:val="center"/>
            <w:hideMark/>
          </w:tcPr>
          <w:p w14:paraId="601128EB"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0D5B9CBC" w14:textId="77777777" w:rsidR="005E0EB6" w:rsidRPr="005E0EB6" w:rsidRDefault="005E0EB6" w:rsidP="005E0EB6">
            <w:pPr>
              <w:rPr>
                <w:rFonts w:ascii="Arial" w:hAnsi="Arial" w:cs="Arial"/>
                <w:sz w:val="20"/>
                <w:szCs w:val="20"/>
                <w:lang w:val="en-GB"/>
              </w:rPr>
            </w:pPr>
          </w:p>
        </w:tc>
      </w:tr>
      <w:tr w:rsidR="005E0EB6" w:rsidRPr="005E0EB6" w14:paraId="201E25DB" w14:textId="77777777" w:rsidTr="007E61ED">
        <w:trPr>
          <w:cantSplit/>
          <w:trHeight w:val="262"/>
        </w:trPr>
        <w:tc>
          <w:tcPr>
            <w:tcW w:w="2086" w:type="dxa"/>
            <w:noWrap/>
            <w:tcMar>
              <w:top w:w="0" w:type="dxa"/>
              <w:left w:w="108" w:type="dxa"/>
              <w:bottom w:w="0" w:type="dxa"/>
              <w:right w:w="108" w:type="dxa"/>
            </w:tcMar>
            <w:vAlign w:val="center"/>
            <w:hideMark/>
          </w:tcPr>
          <w:p w14:paraId="0F142723" w14:textId="77777777" w:rsidR="005E0EB6" w:rsidRPr="005E0EB6" w:rsidRDefault="005E0EB6" w:rsidP="00BB3056">
            <w:pPr>
              <w:rPr>
                <w:rFonts w:ascii="Arial" w:hAnsi="Arial" w:cs="Arial"/>
                <w:sz w:val="20"/>
                <w:szCs w:val="20"/>
                <w:lang w:val="en-GB"/>
              </w:rPr>
            </w:pPr>
            <w:r w:rsidRPr="005E0EB6">
              <w:rPr>
                <w:rFonts w:ascii="Arial" w:hAnsi="Arial" w:cs="Arial"/>
                <w:sz w:val="20"/>
                <w:szCs w:val="20"/>
                <w:lang w:val="en-GB"/>
              </w:rPr>
              <w:t xml:space="preserve">First </w:t>
            </w:r>
            <w:r w:rsidR="00BB3056">
              <w:rPr>
                <w:rFonts w:ascii="Arial" w:hAnsi="Arial" w:cs="Arial"/>
                <w:sz w:val="20"/>
                <w:szCs w:val="20"/>
                <w:lang w:val="en-GB"/>
              </w:rPr>
              <w:t>n</w:t>
            </w:r>
            <w:r w:rsidRPr="005E0EB6">
              <w:rPr>
                <w:rFonts w:ascii="Arial" w:hAnsi="Arial" w:cs="Arial"/>
                <w:sz w:val="20"/>
                <w:szCs w:val="20"/>
                <w:lang w:val="en-GB"/>
              </w:rPr>
              <w:t>ame</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132E2330"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6C08A820"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2326BC9A" w14:textId="00611198"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33490E97" w14:textId="77777777" w:rsidTr="007E61ED">
        <w:trPr>
          <w:cantSplit/>
          <w:trHeight w:val="52"/>
        </w:trPr>
        <w:tc>
          <w:tcPr>
            <w:tcW w:w="5749" w:type="dxa"/>
            <w:gridSpan w:val="6"/>
            <w:noWrap/>
            <w:tcMar>
              <w:top w:w="0" w:type="dxa"/>
              <w:left w:w="108" w:type="dxa"/>
              <w:bottom w:w="0" w:type="dxa"/>
              <w:right w:w="108" w:type="dxa"/>
            </w:tcMar>
            <w:vAlign w:val="center"/>
            <w:hideMark/>
          </w:tcPr>
          <w:p w14:paraId="3F9F0818"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530649C6" w14:textId="77777777" w:rsidR="005E0EB6" w:rsidRPr="005E0EB6" w:rsidRDefault="005E0EB6" w:rsidP="005E0EB6">
            <w:pPr>
              <w:rPr>
                <w:rFonts w:ascii="Arial" w:hAnsi="Arial" w:cs="Arial"/>
                <w:sz w:val="20"/>
                <w:szCs w:val="20"/>
                <w:lang w:val="en-GB"/>
              </w:rPr>
            </w:pPr>
          </w:p>
        </w:tc>
      </w:tr>
      <w:tr w:rsidR="005E0EB6" w:rsidRPr="005E0EB6" w14:paraId="3F28ED9D" w14:textId="77777777" w:rsidTr="007E61ED">
        <w:trPr>
          <w:cantSplit/>
          <w:trHeight w:val="262"/>
        </w:trPr>
        <w:tc>
          <w:tcPr>
            <w:tcW w:w="2086" w:type="dxa"/>
            <w:noWrap/>
            <w:tcMar>
              <w:top w:w="0" w:type="dxa"/>
              <w:left w:w="108" w:type="dxa"/>
              <w:bottom w:w="0" w:type="dxa"/>
              <w:right w:w="108" w:type="dxa"/>
            </w:tcMar>
            <w:vAlign w:val="center"/>
            <w:hideMark/>
          </w:tcPr>
          <w:p w14:paraId="14C192A5" w14:textId="77777777" w:rsidR="005E0EB6" w:rsidRPr="005E0EB6" w:rsidRDefault="00BB3056" w:rsidP="005E0EB6">
            <w:pPr>
              <w:rPr>
                <w:rFonts w:ascii="Arial" w:hAnsi="Arial" w:cs="Arial"/>
                <w:sz w:val="20"/>
                <w:szCs w:val="20"/>
                <w:lang w:val="en-GB"/>
              </w:rPr>
            </w:pPr>
            <w:r>
              <w:rPr>
                <w:rFonts w:ascii="Arial" w:hAnsi="Arial" w:cs="Arial"/>
                <w:sz w:val="20"/>
                <w:szCs w:val="20"/>
                <w:lang w:val="en-GB"/>
              </w:rPr>
              <w:t>Last n</w:t>
            </w:r>
            <w:r w:rsidR="005E0EB6" w:rsidRPr="005E0EB6">
              <w:rPr>
                <w:rFonts w:ascii="Arial" w:hAnsi="Arial" w:cs="Arial"/>
                <w:sz w:val="20"/>
                <w:szCs w:val="20"/>
                <w:lang w:val="en-GB"/>
              </w:rPr>
              <w:t>ame</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1238AF9"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2B9753CA"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67764459" w14:textId="7B1371AB"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440F8A02" w14:textId="77777777" w:rsidTr="007E61ED">
        <w:trPr>
          <w:cantSplit/>
          <w:trHeight w:val="52"/>
        </w:trPr>
        <w:tc>
          <w:tcPr>
            <w:tcW w:w="5749" w:type="dxa"/>
            <w:gridSpan w:val="6"/>
            <w:noWrap/>
            <w:tcMar>
              <w:top w:w="0" w:type="dxa"/>
              <w:left w:w="108" w:type="dxa"/>
              <w:bottom w:w="0" w:type="dxa"/>
              <w:right w:w="108" w:type="dxa"/>
            </w:tcMar>
            <w:vAlign w:val="center"/>
            <w:hideMark/>
          </w:tcPr>
          <w:p w14:paraId="20306D5D"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7CE04DA4" w14:textId="77777777" w:rsidR="005E0EB6" w:rsidRPr="005E0EB6" w:rsidRDefault="005E0EB6" w:rsidP="005E0EB6">
            <w:pPr>
              <w:rPr>
                <w:rFonts w:ascii="Arial" w:hAnsi="Arial" w:cs="Arial"/>
                <w:sz w:val="20"/>
                <w:szCs w:val="20"/>
                <w:lang w:val="en-GB"/>
              </w:rPr>
            </w:pPr>
          </w:p>
        </w:tc>
      </w:tr>
      <w:tr w:rsidR="005E0EB6" w:rsidRPr="005E0EB6" w14:paraId="598E2D5C" w14:textId="77777777" w:rsidTr="007E61ED">
        <w:trPr>
          <w:cantSplit/>
          <w:trHeight w:val="262"/>
        </w:trPr>
        <w:tc>
          <w:tcPr>
            <w:tcW w:w="2086" w:type="dxa"/>
            <w:noWrap/>
            <w:tcMar>
              <w:top w:w="0" w:type="dxa"/>
              <w:left w:w="108" w:type="dxa"/>
              <w:bottom w:w="0" w:type="dxa"/>
              <w:right w:w="108" w:type="dxa"/>
            </w:tcMar>
            <w:vAlign w:val="center"/>
            <w:hideMark/>
          </w:tcPr>
          <w:p w14:paraId="232E4B44" w14:textId="77777777" w:rsidR="005E0EB6" w:rsidRPr="005E0EB6" w:rsidRDefault="00BB3056" w:rsidP="005E0EB6">
            <w:pPr>
              <w:rPr>
                <w:rFonts w:ascii="Arial" w:hAnsi="Arial" w:cs="Arial"/>
                <w:sz w:val="20"/>
                <w:szCs w:val="20"/>
                <w:lang w:val="en-GB"/>
              </w:rPr>
            </w:pPr>
            <w:r>
              <w:rPr>
                <w:rFonts w:ascii="Arial" w:hAnsi="Arial" w:cs="Arial"/>
                <w:sz w:val="20"/>
                <w:szCs w:val="20"/>
                <w:lang w:val="en-GB"/>
              </w:rPr>
              <w:t>Job t</w:t>
            </w:r>
            <w:r w:rsidR="005E0EB6" w:rsidRPr="005E0EB6">
              <w:rPr>
                <w:rFonts w:ascii="Arial" w:hAnsi="Arial" w:cs="Arial"/>
                <w:sz w:val="20"/>
                <w:szCs w:val="20"/>
                <w:lang w:val="en-GB"/>
              </w:rPr>
              <w:t xml:space="preserve">itle </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20A2FB1"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1BD477CA"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410435BB" w14:textId="12C0DEE9"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A217A4">
              <w:rPr>
                <w:rFonts w:ascii="Arial" w:hAnsi="Arial" w:cs="Arial"/>
                <w:sz w:val="20"/>
                <w:szCs w:val="20"/>
                <w:lang w:val="en-GB"/>
              </w:rPr>
              <w:t>Chairman</w:t>
            </w:r>
          </w:p>
        </w:tc>
      </w:tr>
      <w:tr w:rsidR="005E0EB6" w:rsidRPr="000B09FB" w14:paraId="14D53189" w14:textId="77777777" w:rsidTr="007E61ED">
        <w:trPr>
          <w:cantSplit/>
          <w:trHeight w:val="52"/>
        </w:trPr>
        <w:tc>
          <w:tcPr>
            <w:tcW w:w="5749" w:type="dxa"/>
            <w:gridSpan w:val="6"/>
            <w:noWrap/>
            <w:tcMar>
              <w:top w:w="0" w:type="dxa"/>
              <w:left w:w="108" w:type="dxa"/>
              <w:bottom w:w="0" w:type="dxa"/>
              <w:right w:w="108" w:type="dxa"/>
            </w:tcMar>
            <w:vAlign w:val="center"/>
            <w:hideMark/>
          </w:tcPr>
          <w:p w14:paraId="3E6F07E0" w14:textId="77777777" w:rsidR="005E0EB6" w:rsidRPr="000B09FB" w:rsidRDefault="005E0EB6" w:rsidP="005E0EB6">
            <w:pPr>
              <w:rPr>
                <w:rFonts w:ascii="Arial" w:hAnsi="Arial" w:cs="Arial"/>
                <w:sz w:val="18"/>
                <w:szCs w:val="18"/>
                <w:lang w:val="en-GB"/>
              </w:rPr>
            </w:pPr>
            <w:r w:rsidRPr="000B09FB">
              <w:rPr>
                <w:rFonts w:ascii="Arial" w:hAnsi="Arial" w:cs="Arial"/>
                <w:sz w:val="18"/>
                <w:szCs w:val="18"/>
                <w:lang w:val="en-GB"/>
              </w:rPr>
              <w:t>(where relevant)</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448DF3F7" w14:textId="77777777" w:rsidR="005E0EB6" w:rsidRPr="000B09FB" w:rsidRDefault="005E0EB6" w:rsidP="005E0EB6">
            <w:pPr>
              <w:rPr>
                <w:rFonts w:ascii="Arial" w:hAnsi="Arial" w:cs="Arial"/>
                <w:sz w:val="18"/>
                <w:szCs w:val="18"/>
                <w:lang w:val="en-GB"/>
              </w:rPr>
            </w:pPr>
          </w:p>
        </w:tc>
      </w:tr>
      <w:tr w:rsidR="005E0EB6" w:rsidRPr="005E0EB6" w14:paraId="07E13EFD" w14:textId="77777777" w:rsidTr="007E61ED">
        <w:trPr>
          <w:cantSplit/>
          <w:trHeight w:val="262"/>
        </w:trPr>
        <w:tc>
          <w:tcPr>
            <w:tcW w:w="2086" w:type="dxa"/>
            <w:noWrap/>
            <w:tcMar>
              <w:top w:w="0" w:type="dxa"/>
              <w:left w:w="108" w:type="dxa"/>
              <w:bottom w:w="0" w:type="dxa"/>
              <w:right w:w="108" w:type="dxa"/>
            </w:tcMar>
            <w:vAlign w:val="center"/>
            <w:hideMark/>
          </w:tcPr>
          <w:p w14:paraId="51DA1056"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xml:space="preserve">Organisation </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35B19C98" w14:textId="13D5C7A5" w:rsidR="005E0EB6" w:rsidRPr="005E0EB6" w:rsidRDefault="00B922E8" w:rsidP="005E0EB6">
            <w:pPr>
              <w:rPr>
                <w:rFonts w:ascii="Arial" w:hAnsi="Arial" w:cs="Arial"/>
                <w:sz w:val="20"/>
                <w:szCs w:val="20"/>
                <w:lang w:val="en-GB"/>
              </w:rPr>
            </w:pPr>
            <w:r>
              <w:rPr>
                <w:rFonts w:ascii="Arial" w:hAnsi="Arial" w:cs="Arial"/>
                <w:sz w:val="20"/>
                <w:szCs w:val="20"/>
                <w:lang w:val="en-GB"/>
              </w:rPr>
              <w:t xml:space="preserve">Hallam Land Management Ltd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79D13587"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69FF72BA" w14:textId="0DD16BDD"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A217A4">
              <w:rPr>
                <w:rFonts w:ascii="Arial" w:hAnsi="Arial" w:cs="Arial"/>
                <w:sz w:val="20"/>
                <w:szCs w:val="20"/>
                <w:lang w:val="en-GB"/>
              </w:rPr>
              <w:t>David Lock Associates</w:t>
            </w:r>
          </w:p>
        </w:tc>
      </w:tr>
      <w:tr w:rsidR="005E0EB6" w:rsidRPr="005E0EB6" w14:paraId="3A7B3F45" w14:textId="77777777" w:rsidTr="007E61ED">
        <w:trPr>
          <w:cantSplit/>
          <w:trHeight w:val="52"/>
        </w:trPr>
        <w:tc>
          <w:tcPr>
            <w:tcW w:w="5749" w:type="dxa"/>
            <w:gridSpan w:val="6"/>
            <w:noWrap/>
            <w:tcMar>
              <w:top w:w="0" w:type="dxa"/>
              <w:left w:w="108" w:type="dxa"/>
              <w:bottom w:w="0" w:type="dxa"/>
              <w:right w:w="108" w:type="dxa"/>
            </w:tcMar>
            <w:vAlign w:val="center"/>
            <w:hideMark/>
          </w:tcPr>
          <w:p w14:paraId="673A1539" w14:textId="77777777" w:rsidR="005E0EB6" w:rsidRPr="000B09FB" w:rsidRDefault="005E0EB6" w:rsidP="005E0EB6">
            <w:pPr>
              <w:rPr>
                <w:rFonts w:ascii="Arial" w:hAnsi="Arial" w:cs="Arial"/>
                <w:sz w:val="18"/>
                <w:szCs w:val="18"/>
                <w:lang w:val="en-GB"/>
              </w:rPr>
            </w:pPr>
            <w:r w:rsidRPr="000B09FB">
              <w:rPr>
                <w:rFonts w:ascii="Arial" w:hAnsi="Arial" w:cs="Arial"/>
                <w:sz w:val="18"/>
                <w:szCs w:val="18"/>
                <w:lang w:val="en-GB"/>
              </w:rPr>
              <w:t>(where relevant)</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3A4D1714" w14:textId="77777777" w:rsidR="005E0EB6" w:rsidRPr="005E0EB6" w:rsidRDefault="005E0EB6" w:rsidP="005E0EB6">
            <w:pPr>
              <w:rPr>
                <w:rFonts w:ascii="Arial" w:hAnsi="Arial" w:cs="Arial"/>
                <w:sz w:val="20"/>
                <w:szCs w:val="20"/>
                <w:lang w:val="en-GB"/>
              </w:rPr>
            </w:pPr>
          </w:p>
        </w:tc>
      </w:tr>
      <w:tr w:rsidR="005E0EB6" w:rsidRPr="005E0EB6" w14:paraId="648DF70F" w14:textId="77777777" w:rsidTr="007E61ED">
        <w:trPr>
          <w:cantSplit/>
          <w:trHeight w:val="262"/>
        </w:trPr>
        <w:tc>
          <w:tcPr>
            <w:tcW w:w="2086" w:type="dxa"/>
            <w:noWrap/>
            <w:tcMar>
              <w:top w:w="0" w:type="dxa"/>
              <w:left w:w="108" w:type="dxa"/>
              <w:bottom w:w="0" w:type="dxa"/>
              <w:right w:w="108" w:type="dxa"/>
            </w:tcMar>
            <w:vAlign w:val="center"/>
            <w:hideMark/>
          </w:tcPr>
          <w:p w14:paraId="25370E36" w14:textId="77777777" w:rsidR="005E0EB6" w:rsidRPr="005E0EB6" w:rsidRDefault="005E0EB6" w:rsidP="00BB3056">
            <w:pPr>
              <w:rPr>
                <w:rFonts w:ascii="Arial" w:hAnsi="Arial" w:cs="Arial"/>
                <w:sz w:val="20"/>
                <w:szCs w:val="20"/>
                <w:lang w:val="en-GB"/>
              </w:rPr>
            </w:pPr>
            <w:r w:rsidRPr="005E0EB6">
              <w:rPr>
                <w:rFonts w:ascii="Arial" w:hAnsi="Arial" w:cs="Arial"/>
                <w:sz w:val="20"/>
                <w:szCs w:val="20"/>
                <w:lang w:val="en-GB"/>
              </w:rPr>
              <w:t xml:space="preserve">Address </w:t>
            </w:r>
            <w:r w:rsidR="00BB3056">
              <w:rPr>
                <w:rFonts w:ascii="Arial" w:hAnsi="Arial" w:cs="Arial"/>
                <w:sz w:val="20"/>
                <w:szCs w:val="20"/>
                <w:lang w:val="en-GB"/>
              </w:rPr>
              <w:t>l</w:t>
            </w:r>
            <w:r w:rsidRPr="005E0EB6">
              <w:rPr>
                <w:rFonts w:ascii="Arial" w:hAnsi="Arial" w:cs="Arial"/>
                <w:sz w:val="20"/>
                <w:szCs w:val="20"/>
                <w:lang w:val="en-GB"/>
              </w:rPr>
              <w:t>ine 1</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C2906C8" w14:textId="1466393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B922E8">
              <w:rPr>
                <w:rFonts w:ascii="Arial" w:hAnsi="Arial" w:cs="Arial"/>
                <w:sz w:val="20"/>
                <w:szCs w:val="20"/>
                <w:lang w:val="en-GB"/>
              </w:rPr>
              <w:t>10 Duncan Close</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5CF60657"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655E0FB8" w14:textId="2AD4727E"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A217A4">
              <w:rPr>
                <w:rFonts w:ascii="Arial" w:hAnsi="Arial" w:cs="Arial"/>
                <w:sz w:val="20"/>
                <w:szCs w:val="20"/>
                <w:lang w:val="en-GB"/>
              </w:rPr>
              <w:t>50 North Thirteenth Street</w:t>
            </w:r>
          </w:p>
        </w:tc>
      </w:tr>
      <w:tr w:rsidR="005E0EB6" w:rsidRPr="005E0EB6" w14:paraId="39F21148" w14:textId="77777777" w:rsidTr="007E61ED">
        <w:trPr>
          <w:cantSplit/>
          <w:trHeight w:val="52"/>
        </w:trPr>
        <w:tc>
          <w:tcPr>
            <w:tcW w:w="5749" w:type="dxa"/>
            <w:gridSpan w:val="6"/>
            <w:noWrap/>
            <w:tcMar>
              <w:top w:w="0" w:type="dxa"/>
              <w:left w:w="108" w:type="dxa"/>
              <w:bottom w:w="0" w:type="dxa"/>
              <w:right w:w="108" w:type="dxa"/>
            </w:tcMar>
            <w:vAlign w:val="center"/>
            <w:hideMark/>
          </w:tcPr>
          <w:p w14:paraId="354BE5E6"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3BBF6E2A" w14:textId="77777777" w:rsidR="005E0EB6" w:rsidRPr="005E0EB6" w:rsidRDefault="005E0EB6" w:rsidP="005E0EB6">
            <w:pPr>
              <w:rPr>
                <w:rFonts w:ascii="Arial" w:hAnsi="Arial" w:cs="Arial"/>
                <w:sz w:val="20"/>
                <w:szCs w:val="20"/>
                <w:lang w:val="en-GB"/>
              </w:rPr>
            </w:pPr>
          </w:p>
        </w:tc>
      </w:tr>
      <w:tr w:rsidR="005E0EB6" w:rsidRPr="005E0EB6" w14:paraId="060F2A69" w14:textId="77777777" w:rsidTr="007E61ED">
        <w:trPr>
          <w:cantSplit/>
          <w:trHeight w:val="262"/>
        </w:trPr>
        <w:tc>
          <w:tcPr>
            <w:tcW w:w="2086" w:type="dxa"/>
            <w:noWrap/>
            <w:tcMar>
              <w:top w:w="0" w:type="dxa"/>
              <w:left w:w="108" w:type="dxa"/>
              <w:bottom w:w="0" w:type="dxa"/>
              <w:right w:w="108" w:type="dxa"/>
            </w:tcMar>
            <w:vAlign w:val="center"/>
            <w:hideMark/>
          </w:tcPr>
          <w:p w14:paraId="168DD0B3"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Line 2</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598C18D3" w14:textId="6B7D5FA5"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B922E8">
              <w:rPr>
                <w:rFonts w:ascii="Arial" w:hAnsi="Arial" w:cs="Arial"/>
                <w:sz w:val="20"/>
                <w:szCs w:val="20"/>
                <w:lang w:val="en-GB"/>
              </w:rPr>
              <w:t>Red House Square</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6EA14086"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3B3547C5" w14:textId="047BEA36"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A217A4">
              <w:rPr>
                <w:rFonts w:ascii="Arial" w:hAnsi="Arial" w:cs="Arial"/>
                <w:sz w:val="20"/>
                <w:szCs w:val="20"/>
                <w:lang w:val="en-GB"/>
              </w:rPr>
              <w:t>Central Milton Keynes</w:t>
            </w:r>
          </w:p>
        </w:tc>
      </w:tr>
      <w:tr w:rsidR="005E0EB6" w:rsidRPr="005E0EB6" w14:paraId="21524FA2" w14:textId="77777777" w:rsidTr="007E61ED">
        <w:trPr>
          <w:cantSplit/>
          <w:trHeight w:val="52"/>
        </w:trPr>
        <w:tc>
          <w:tcPr>
            <w:tcW w:w="5749" w:type="dxa"/>
            <w:gridSpan w:val="6"/>
            <w:noWrap/>
            <w:tcMar>
              <w:top w:w="0" w:type="dxa"/>
              <w:left w:w="108" w:type="dxa"/>
              <w:bottom w:w="0" w:type="dxa"/>
              <w:right w:w="108" w:type="dxa"/>
            </w:tcMar>
            <w:vAlign w:val="center"/>
            <w:hideMark/>
          </w:tcPr>
          <w:p w14:paraId="0EDAA975" w14:textId="351D2F9D" w:rsidR="005E0EB6" w:rsidRPr="005E0EB6" w:rsidRDefault="005E0EB6" w:rsidP="005E0EB6">
            <w:pPr>
              <w:rPr>
                <w:rFonts w:ascii="Arial" w:hAnsi="Arial" w:cs="Arial"/>
                <w:sz w:val="20"/>
                <w:szCs w:val="20"/>
                <w:lang w:val="en-GB"/>
              </w:rPr>
            </w:pP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75A3A087" w14:textId="77777777" w:rsidR="005E0EB6" w:rsidRPr="005E0EB6" w:rsidRDefault="005E0EB6" w:rsidP="005E0EB6">
            <w:pPr>
              <w:rPr>
                <w:rFonts w:ascii="Arial" w:hAnsi="Arial" w:cs="Arial"/>
                <w:sz w:val="20"/>
                <w:szCs w:val="20"/>
                <w:lang w:val="en-GB"/>
              </w:rPr>
            </w:pPr>
          </w:p>
        </w:tc>
      </w:tr>
      <w:tr w:rsidR="005E0EB6" w:rsidRPr="005E0EB6" w14:paraId="3C1103C3" w14:textId="77777777" w:rsidTr="007E61ED">
        <w:trPr>
          <w:cantSplit/>
          <w:trHeight w:val="262"/>
        </w:trPr>
        <w:tc>
          <w:tcPr>
            <w:tcW w:w="2086" w:type="dxa"/>
            <w:noWrap/>
            <w:tcMar>
              <w:top w:w="0" w:type="dxa"/>
              <w:left w:w="108" w:type="dxa"/>
              <w:bottom w:w="0" w:type="dxa"/>
              <w:right w:w="108" w:type="dxa"/>
            </w:tcMar>
            <w:vAlign w:val="center"/>
            <w:hideMark/>
          </w:tcPr>
          <w:p w14:paraId="6DC5C59A"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Line 3</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573A9749" w14:textId="68D97EBF"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B922E8">
              <w:rPr>
                <w:rFonts w:ascii="Arial" w:hAnsi="Arial" w:cs="Arial"/>
                <w:sz w:val="20"/>
                <w:szCs w:val="20"/>
                <w:lang w:val="en-GB"/>
              </w:rPr>
              <w:t>Moulton Park</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7DCAAC8C"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634A7FAD" w14:textId="03B2AC29"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A217A4">
              <w:rPr>
                <w:rFonts w:ascii="Arial" w:hAnsi="Arial" w:cs="Arial"/>
                <w:sz w:val="20"/>
                <w:szCs w:val="20"/>
                <w:lang w:val="en-GB"/>
              </w:rPr>
              <w:t>Buckinghamshire</w:t>
            </w:r>
          </w:p>
        </w:tc>
      </w:tr>
      <w:tr w:rsidR="005E0EB6" w:rsidRPr="005E0EB6" w14:paraId="10E052AE" w14:textId="77777777" w:rsidTr="007E61ED">
        <w:trPr>
          <w:cantSplit/>
          <w:trHeight w:val="52"/>
        </w:trPr>
        <w:tc>
          <w:tcPr>
            <w:tcW w:w="5749" w:type="dxa"/>
            <w:gridSpan w:val="6"/>
            <w:noWrap/>
            <w:tcMar>
              <w:top w:w="0" w:type="dxa"/>
              <w:left w:w="108" w:type="dxa"/>
              <w:bottom w:w="0" w:type="dxa"/>
              <w:right w:w="108" w:type="dxa"/>
            </w:tcMar>
            <w:vAlign w:val="center"/>
            <w:hideMark/>
          </w:tcPr>
          <w:p w14:paraId="73CA299A"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2DAAEA03" w14:textId="77777777" w:rsidR="005E0EB6" w:rsidRPr="005E0EB6" w:rsidRDefault="005E0EB6" w:rsidP="005E0EB6">
            <w:pPr>
              <w:rPr>
                <w:rFonts w:ascii="Arial" w:hAnsi="Arial" w:cs="Arial"/>
                <w:sz w:val="20"/>
                <w:szCs w:val="20"/>
                <w:lang w:val="en-GB"/>
              </w:rPr>
            </w:pPr>
          </w:p>
        </w:tc>
      </w:tr>
      <w:tr w:rsidR="005E0EB6" w:rsidRPr="005E0EB6" w14:paraId="6EB8E0A9" w14:textId="77777777" w:rsidTr="007E61ED">
        <w:trPr>
          <w:cantSplit/>
          <w:trHeight w:val="262"/>
        </w:trPr>
        <w:tc>
          <w:tcPr>
            <w:tcW w:w="2086" w:type="dxa"/>
            <w:noWrap/>
            <w:tcMar>
              <w:top w:w="0" w:type="dxa"/>
              <w:left w:w="108" w:type="dxa"/>
              <w:bottom w:w="0" w:type="dxa"/>
              <w:right w:w="108" w:type="dxa"/>
            </w:tcMar>
            <w:vAlign w:val="center"/>
            <w:hideMark/>
          </w:tcPr>
          <w:p w14:paraId="08D08BAC"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Line 4</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38AEA46" w14:textId="04163446"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B922E8">
              <w:rPr>
                <w:rFonts w:ascii="Arial" w:hAnsi="Arial" w:cs="Arial"/>
                <w:sz w:val="20"/>
                <w:szCs w:val="20"/>
                <w:lang w:val="en-GB"/>
              </w:rPr>
              <w:t>Northampton</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434A6063"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17609175"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529AF9DE" w14:textId="77777777" w:rsidTr="007E61ED">
        <w:trPr>
          <w:cantSplit/>
          <w:trHeight w:val="52"/>
        </w:trPr>
        <w:tc>
          <w:tcPr>
            <w:tcW w:w="5749" w:type="dxa"/>
            <w:gridSpan w:val="6"/>
            <w:noWrap/>
            <w:tcMar>
              <w:top w:w="0" w:type="dxa"/>
              <w:left w:w="108" w:type="dxa"/>
              <w:bottom w:w="0" w:type="dxa"/>
              <w:right w:w="108" w:type="dxa"/>
            </w:tcMar>
            <w:vAlign w:val="center"/>
            <w:hideMark/>
          </w:tcPr>
          <w:p w14:paraId="458FA536"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nil"/>
              <w:right w:val="nil"/>
            </w:tcBorders>
            <w:tcMar>
              <w:top w:w="0" w:type="dxa"/>
              <w:left w:w="108" w:type="dxa"/>
              <w:bottom w:w="0" w:type="dxa"/>
              <w:right w:w="108" w:type="dxa"/>
            </w:tcMar>
            <w:vAlign w:val="center"/>
          </w:tcPr>
          <w:p w14:paraId="32C1DF29" w14:textId="77777777" w:rsidR="005E0EB6" w:rsidRPr="005E0EB6" w:rsidRDefault="005E0EB6" w:rsidP="005E0EB6">
            <w:pPr>
              <w:rPr>
                <w:rFonts w:ascii="Arial" w:hAnsi="Arial" w:cs="Arial"/>
                <w:sz w:val="20"/>
                <w:szCs w:val="20"/>
                <w:lang w:val="en-GB"/>
              </w:rPr>
            </w:pPr>
          </w:p>
        </w:tc>
      </w:tr>
      <w:tr w:rsidR="005E0EB6" w:rsidRPr="005E0EB6" w14:paraId="63F92F06" w14:textId="77777777" w:rsidTr="007E61ED">
        <w:trPr>
          <w:cantSplit/>
          <w:trHeight w:val="262"/>
        </w:trPr>
        <w:tc>
          <w:tcPr>
            <w:tcW w:w="2086" w:type="dxa"/>
            <w:noWrap/>
            <w:tcMar>
              <w:top w:w="0" w:type="dxa"/>
              <w:left w:w="108" w:type="dxa"/>
              <w:bottom w:w="0" w:type="dxa"/>
              <w:right w:w="108" w:type="dxa"/>
            </w:tcMar>
            <w:vAlign w:val="center"/>
            <w:hideMark/>
          </w:tcPr>
          <w:p w14:paraId="1E70888D" w14:textId="77777777" w:rsidR="005E0EB6" w:rsidRPr="005E0EB6" w:rsidRDefault="00BB3056" w:rsidP="005E0EB6">
            <w:pPr>
              <w:rPr>
                <w:rFonts w:ascii="Arial" w:hAnsi="Arial" w:cs="Arial"/>
                <w:sz w:val="20"/>
                <w:szCs w:val="20"/>
                <w:lang w:val="en-GB"/>
              </w:rPr>
            </w:pPr>
            <w:r>
              <w:rPr>
                <w:rFonts w:ascii="Arial" w:hAnsi="Arial" w:cs="Arial"/>
                <w:sz w:val="20"/>
                <w:szCs w:val="20"/>
                <w:lang w:val="en-GB"/>
              </w:rPr>
              <w:t>Postc</w:t>
            </w:r>
            <w:r w:rsidR="005E0EB6" w:rsidRPr="005E0EB6">
              <w:rPr>
                <w:rFonts w:ascii="Arial" w:hAnsi="Arial" w:cs="Arial"/>
                <w:sz w:val="20"/>
                <w:szCs w:val="20"/>
                <w:lang w:val="en-GB"/>
              </w:rPr>
              <w:t>ode</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5E3346F6" w14:textId="086A4BA5"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B922E8">
              <w:rPr>
                <w:rFonts w:ascii="Arial" w:hAnsi="Arial" w:cs="Arial"/>
                <w:sz w:val="20"/>
                <w:szCs w:val="20"/>
                <w:lang w:val="en-GB"/>
              </w:rPr>
              <w:t>NN3 6WL</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70363EFB"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6C1B076F" w14:textId="4091D68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A217A4">
              <w:rPr>
                <w:rFonts w:ascii="Arial" w:hAnsi="Arial" w:cs="Arial"/>
                <w:sz w:val="20"/>
                <w:szCs w:val="20"/>
                <w:lang w:val="en-GB"/>
              </w:rPr>
              <w:t>MK9 3BP</w:t>
            </w:r>
          </w:p>
        </w:tc>
      </w:tr>
      <w:tr w:rsidR="005E0EB6" w:rsidRPr="005E0EB6" w14:paraId="001E4530" w14:textId="77777777" w:rsidTr="007E61ED">
        <w:trPr>
          <w:cantSplit/>
          <w:trHeight w:val="52"/>
        </w:trPr>
        <w:tc>
          <w:tcPr>
            <w:tcW w:w="5749" w:type="dxa"/>
            <w:gridSpan w:val="6"/>
            <w:noWrap/>
            <w:tcMar>
              <w:top w:w="0" w:type="dxa"/>
              <w:left w:w="108" w:type="dxa"/>
              <w:bottom w:w="0" w:type="dxa"/>
              <w:right w:w="108" w:type="dxa"/>
            </w:tcMar>
            <w:vAlign w:val="center"/>
            <w:hideMark/>
          </w:tcPr>
          <w:p w14:paraId="698DE333"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03521C8F" w14:textId="77777777" w:rsidR="005E0EB6" w:rsidRPr="005E0EB6" w:rsidRDefault="005E0EB6" w:rsidP="005E0EB6">
            <w:pPr>
              <w:rPr>
                <w:rFonts w:ascii="Arial" w:hAnsi="Arial" w:cs="Arial"/>
                <w:sz w:val="20"/>
                <w:szCs w:val="20"/>
                <w:lang w:val="en-GB"/>
              </w:rPr>
            </w:pPr>
          </w:p>
        </w:tc>
      </w:tr>
      <w:tr w:rsidR="005E0EB6" w:rsidRPr="005E0EB6" w14:paraId="596B9329" w14:textId="77777777" w:rsidTr="007E61ED">
        <w:trPr>
          <w:cantSplit/>
          <w:trHeight w:val="262"/>
        </w:trPr>
        <w:tc>
          <w:tcPr>
            <w:tcW w:w="2086" w:type="dxa"/>
            <w:noWrap/>
            <w:tcMar>
              <w:top w:w="0" w:type="dxa"/>
              <w:left w:w="108" w:type="dxa"/>
              <w:bottom w:w="0" w:type="dxa"/>
              <w:right w:w="108" w:type="dxa"/>
            </w:tcMar>
            <w:vAlign w:val="center"/>
            <w:hideMark/>
          </w:tcPr>
          <w:p w14:paraId="2450EE80" w14:textId="77777777" w:rsidR="005E0EB6" w:rsidRPr="005E0EB6" w:rsidRDefault="005E0EB6" w:rsidP="00BB3056">
            <w:pPr>
              <w:rPr>
                <w:rFonts w:ascii="Arial" w:hAnsi="Arial" w:cs="Arial"/>
                <w:sz w:val="20"/>
                <w:szCs w:val="20"/>
                <w:lang w:val="en-GB"/>
              </w:rPr>
            </w:pPr>
            <w:r w:rsidRPr="005E0EB6">
              <w:rPr>
                <w:rFonts w:ascii="Arial" w:hAnsi="Arial" w:cs="Arial"/>
                <w:sz w:val="20"/>
                <w:szCs w:val="20"/>
                <w:lang w:val="en-GB"/>
              </w:rPr>
              <w:t xml:space="preserve">Telephone </w:t>
            </w:r>
            <w:r w:rsidR="00BB3056">
              <w:rPr>
                <w:rFonts w:ascii="Arial" w:hAnsi="Arial" w:cs="Arial"/>
                <w:sz w:val="20"/>
                <w:szCs w:val="20"/>
                <w:lang w:val="en-GB"/>
              </w:rPr>
              <w:t>n</w:t>
            </w:r>
            <w:r w:rsidRPr="005E0EB6">
              <w:rPr>
                <w:rFonts w:ascii="Arial" w:hAnsi="Arial" w:cs="Arial"/>
                <w:sz w:val="20"/>
                <w:szCs w:val="20"/>
                <w:lang w:val="en-GB"/>
              </w:rPr>
              <w:t>umber</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FDA677B"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08C0B21A"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637D4FCF" w14:textId="7AD6ED55"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B922E8">
              <w:rPr>
                <w:rFonts w:ascii="Arial" w:hAnsi="Arial" w:cs="Arial"/>
                <w:sz w:val="20"/>
                <w:szCs w:val="20"/>
                <w:lang w:val="en-GB"/>
              </w:rPr>
              <w:t>01908 666276</w:t>
            </w:r>
          </w:p>
        </w:tc>
      </w:tr>
      <w:tr w:rsidR="005E0EB6" w:rsidRPr="005E0EB6" w14:paraId="271598D7" w14:textId="77777777" w:rsidTr="007E61ED">
        <w:trPr>
          <w:cantSplit/>
          <w:trHeight w:val="52"/>
        </w:trPr>
        <w:tc>
          <w:tcPr>
            <w:tcW w:w="5749" w:type="dxa"/>
            <w:gridSpan w:val="6"/>
            <w:noWrap/>
            <w:tcMar>
              <w:top w:w="0" w:type="dxa"/>
              <w:left w:w="108" w:type="dxa"/>
              <w:bottom w:w="0" w:type="dxa"/>
              <w:right w:w="108" w:type="dxa"/>
            </w:tcMar>
            <w:vAlign w:val="center"/>
            <w:hideMark/>
          </w:tcPr>
          <w:p w14:paraId="0EF9795E"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13B1CD17" w14:textId="77777777" w:rsidR="005E0EB6" w:rsidRPr="005E0EB6" w:rsidRDefault="005E0EB6" w:rsidP="005E0EB6">
            <w:pPr>
              <w:rPr>
                <w:rFonts w:ascii="Arial" w:hAnsi="Arial" w:cs="Arial"/>
                <w:sz w:val="20"/>
                <w:szCs w:val="20"/>
                <w:lang w:val="en-GB"/>
              </w:rPr>
            </w:pPr>
          </w:p>
        </w:tc>
      </w:tr>
      <w:tr w:rsidR="005E0EB6" w:rsidRPr="005E0EB6" w14:paraId="5A47FBFA" w14:textId="77777777" w:rsidTr="007E61ED">
        <w:trPr>
          <w:cantSplit/>
          <w:trHeight w:val="262"/>
        </w:trPr>
        <w:tc>
          <w:tcPr>
            <w:tcW w:w="2086" w:type="dxa"/>
            <w:noWrap/>
            <w:tcMar>
              <w:top w:w="0" w:type="dxa"/>
              <w:left w:w="108" w:type="dxa"/>
              <w:bottom w:w="0" w:type="dxa"/>
              <w:right w:w="108" w:type="dxa"/>
            </w:tcMar>
            <w:vAlign w:val="center"/>
            <w:hideMark/>
          </w:tcPr>
          <w:p w14:paraId="02952D67" w14:textId="77777777" w:rsidR="005E0EB6" w:rsidRPr="005E0EB6" w:rsidRDefault="00BB3056" w:rsidP="005E0EB6">
            <w:pPr>
              <w:rPr>
                <w:rFonts w:ascii="Arial" w:hAnsi="Arial" w:cs="Arial"/>
                <w:sz w:val="20"/>
                <w:szCs w:val="20"/>
                <w:lang w:val="en-GB"/>
              </w:rPr>
            </w:pPr>
            <w:r>
              <w:rPr>
                <w:rFonts w:ascii="Arial" w:hAnsi="Arial" w:cs="Arial"/>
                <w:sz w:val="20"/>
                <w:szCs w:val="20"/>
                <w:lang w:val="en-GB"/>
              </w:rPr>
              <w:t>E-mail a</w:t>
            </w:r>
            <w:r w:rsidR="005E0EB6" w:rsidRPr="005E0EB6">
              <w:rPr>
                <w:rFonts w:ascii="Arial" w:hAnsi="Arial" w:cs="Arial"/>
                <w:sz w:val="20"/>
                <w:szCs w:val="20"/>
                <w:lang w:val="en-GB"/>
              </w:rPr>
              <w:t>ddress</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2FFB6BDC" w14:textId="113E17FA"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bookmarkStart w:id="1" w:name="_GoBack"/>
            <w:bookmarkEnd w:id="1"/>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5B65AD8A"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66BF7713" w14:textId="2E02F146"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0B09FB" w14:paraId="17D4B0ED" w14:textId="77777777" w:rsidTr="007E61ED">
        <w:trPr>
          <w:cantSplit/>
          <w:trHeight w:val="183"/>
        </w:trPr>
        <w:tc>
          <w:tcPr>
            <w:tcW w:w="5749" w:type="dxa"/>
            <w:gridSpan w:val="6"/>
            <w:tcBorders>
              <w:top w:val="nil"/>
              <w:left w:val="nil"/>
              <w:bottom w:val="double" w:sz="4" w:space="0" w:color="000000"/>
              <w:right w:val="nil"/>
            </w:tcBorders>
            <w:noWrap/>
            <w:tcMar>
              <w:top w:w="0" w:type="dxa"/>
              <w:left w:w="108" w:type="dxa"/>
              <w:bottom w:w="0" w:type="dxa"/>
              <w:right w:w="108" w:type="dxa"/>
            </w:tcMar>
            <w:hideMark/>
          </w:tcPr>
          <w:p w14:paraId="169A8B20" w14:textId="77777777" w:rsidR="008760B7" w:rsidRDefault="005E0EB6" w:rsidP="005E0EB6">
            <w:pPr>
              <w:rPr>
                <w:rFonts w:ascii="Arial" w:hAnsi="Arial" w:cs="Arial"/>
                <w:sz w:val="18"/>
                <w:szCs w:val="18"/>
                <w:lang w:val="en-GB"/>
              </w:rPr>
            </w:pPr>
            <w:r w:rsidRPr="000B09FB">
              <w:rPr>
                <w:rFonts w:ascii="Arial" w:hAnsi="Arial" w:cs="Arial"/>
                <w:sz w:val="18"/>
                <w:szCs w:val="18"/>
                <w:lang w:val="en-GB"/>
              </w:rPr>
              <w:t>(where relevant)</w:t>
            </w:r>
          </w:p>
          <w:p w14:paraId="41D81448" w14:textId="77777777" w:rsidR="008760B7" w:rsidRPr="000B09FB" w:rsidRDefault="008760B7" w:rsidP="005E0EB6">
            <w:pPr>
              <w:rPr>
                <w:rFonts w:ascii="Arial" w:hAnsi="Arial" w:cs="Arial"/>
                <w:sz w:val="18"/>
                <w:szCs w:val="18"/>
                <w:lang w:val="en-GB"/>
              </w:rPr>
            </w:pPr>
          </w:p>
        </w:tc>
        <w:tc>
          <w:tcPr>
            <w:tcW w:w="3028" w:type="dxa"/>
            <w:tcBorders>
              <w:top w:val="single" w:sz="8" w:space="0" w:color="000000"/>
              <w:left w:val="nil"/>
              <w:bottom w:val="double" w:sz="4" w:space="0" w:color="000000"/>
              <w:right w:val="nil"/>
            </w:tcBorders>
            <w:tcMar>
              <w:top w:w="0" w:type="dxa"/>
              <w:left w:w="108" w:type="dxa"/>
              <w:bottom w:w="0" w:type="dxa"/>
              <w:right w:w="108" w:type="dxa"/>
            </w:tcMar>
          </w:tcPr>
          <w:p w14:paraId="198ED6D7" w14:textId="77777777" w:rsidR="005E0EB6" w:rsidRPr="000B09FB" w:rsidRDefault="005E0EB6" w:rsidP="005E0EB6">
            <w:pPr>
              <w:rPr>
                <w:rFonts w:ascii="Arial" w:hAnsi="Arial" w:cs="Arial"/>
                <w:sz w:val="18"/>
                <w:szCs w:val="18"/>
                <w:lang w:val="en-GB"/>
              </w:rPr>
            </w:pPr>
          </w:p>
        </w:tc>
      </w:tr>
    </w:tbl>
    <w:p w14:paraId="55943E20" w14:textId="77777777" w:rsidR="008D4483" w:rsidRDefault="008D4483" w:rsidP="000B09FB">
      <w:pPr>
        <w:rPr>
          <w:rFonts w:ascii="Arial" w:hAnsi="Arial" w:cs="Arial"/>
          <w:b/>
          <w:sz w:val="24"/>
          <w:szCs w:val="24"/>
          <w:lang w:val="en-GB"/>
        </w:rPr>
        <w:sectPr w:rsidR="008D4483" w:rsidSect="000B09FB">
          <w:pgSz w:w="12240" w:h="15840"/>
          <w:pgMar w:top="1440" w:right="1440" w:bottom="1440" w:left="1440" w:header="720" w:footer="720" w:gutter="0"/>
          <w:cols w:space="720"/>
          <w:docGrid w:linePitch="360"/>
        </w:sectPr>
      </w:pPr>
      <w:bookmarkStart w:id="2" w:name="_Toc364432884"/>
    </w:p>
    <w:tbl>
      <w:tblPr>
        <w:tblW w:w="8568" w:type="dxa"/>
        <w:tblCellMar>
          <w:left w:w="10" w:type="dxa"/>
          <w:right w:w="10" w:type="dxa"/>
        </w:tblCellMar>
        <w:tblLook w:val="0000" w:firstRow="0" w:lastRow="0" w:firstColumn="0" w:lastColumn="0" w:noHBand="0" w:noVBand="0"/>
      </w:tblPr>
      <w:tblGrid>
        <w:gridCol w:w="236"/>
        <w:gridCol w:w="1024"/>
        <w:gridCol w:w="1260"/>
        <w:gridCol w:w="993"/>
        <w:gridCol w:w="87"/>
        <w:gridCol w:w="1188"/>
        <w:gridCol w:w="72"/>
        <w:gridCol w:w="180"/>
        <w:gridCol w:w="828"/>
        <w:gridCol w:w="214"/>
        <w:gridCol w:w="409"/>
        <w:gridCol w:w="220"/>
        <w:gridCol w:w="777"/>
        <w:gridCol w:w="1080"/>
      </w:tblGrid>
      <w:tr w:rsidR="000B09FB" w:rsidRPr="000B09FB" w14:paraId="23E02682" w14:textId="77777777" w:rsidTr="008D4483">
        <w:trPr>
          <w:cantSplit/>
          <w:trHeight w:val="180"/>
        </w:trPr>
        <w:tc>
          <w:tcPr>
            <w:tcW w:w="8568" w:type="dxa"/>
            <w:gridSpan w:val="14"/>
            <w:tcBorders>
              <w:bottom w:val="double" w:sz="4" w:space="0" w:color="000000"/>
            </w:tcBorders>
            <w:shd w:val="clear" w:color="auto" w:fill="auto"/>
            <w:noWrap/>
            <w:tcMar>
              <w:top w:w="0" w:type="dxa"/>
              <w:left w:w="108" w:type="dxa"/>
              <w:bottom w:w="0" w:type="dxa"/>
              <w:right w:w="108" w:type="dxa"/>
            </w:tcMar>
            <w:vAlign w:val="bottom"/>
          </w:tcPr>
          <w:p w14:paraId="33203D26" w14:textId="77777777" w:rsidR="000B09FB" w:rsidRPr="000B09FB" w:rsidRDefault="000B09FB" w:rsidP="000B09FB">
            <w:pPr>
              <w:rPr>
                <w:rFonts w:ascii="Arial" w:hAnsi="Arial" w:cs="Arial"/>
                <w:b/>
                <w:sz w:val="24"/>
                <w:szCs w:val="24"/>
                <w:lang w:val="en-GB"/>
              </w:rPr>
            </w:pPr>
            <w:r w:rsidRPr="000B09FB">
              <w:rPr>
                <w:rFonts w:ascii="Arial" w:hAnsi="Arial" w:cs="Arial"/>
                <w:b/>
                <w:sz w:val="24"/>
                <w:szCs w:val="24"/>
                <w:lang w:val="en-GB"/>
              </w:rPr>
              <w:lastRenderedPageBreak/>
              <w:t>Part B – Please use a separate sheet for each representation</w:t>
            </w:r>
            <w:bookmarkEnd w:id="2"/>
          </w:p>
          <w:p w14:paraId="76D6A761" w14:textId="77777777" w:rsidR="000B09FB" w:rsidRPr="000B09FB" w:rsidRDefault="000B09FB" w:rsidP="000B09FB">
            <w:pPr>
              <w:rPr>
                <w:rFonts w:ascii="Arial" w:hAnsi="Arial" w:cs="Arial"/>
                <w:sz w:val="20"/>
                <w:szCs w:val="20"/>
                <w:lang w:val="en-GB"/>
              </w:rPr>
            </w:pPr>
          </w:p>
        </w:tc>
      </w:tr>
      <w:tr w:rsidR="000B09FB" w:rsidRPr="000B09FB" w14:paraId="407DADFC" w14:textId="77777777" w:rsidTr="008D4483">
        <w:trPr>
          <w:cantSplit/>
          <w:trHeight w:val="300"/>
        </w:trPr>
        <w:tc>
          <w:tcPr>
            <w:tcW w:w="8568" w:type="dxa"/>
            <w:gridSpan w:val="14"/>
            <w:tcBorders>
              <w:top w:val="double" w:sz="4" w:space="0" w:color="000000"/>
            </w:tcBorders>
            <w:shd w:val="clear" w:color="auto" w:fill="auto"/>
            <w:noWrap/>
            <w:tcMar>
              <w:top w:w="0" w:type="dxa"/>
              <w:left w:w="108" w:type="dxa"/>
              <w:bottom w:w="0" w:type="dxa"/>
              <w:right w:w="108" w:type="dxa"/>
            </w:tcMar>
            <w:vAlign w:val="center"/>
          </w:tcPr>
          <w:p w14:paraId="6931FCDA"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Name or </w:t>
            </w:r>
            <w:r w:rsidR="00BB3056">
              <w:rPr>
                <w:rFonts w:ascii="Arial" w:hAnsi="Arial" w:cs="Arial"/>
                <w:sz w:val="20"/>
                <w:szCs w:val="20"/>
                <w:lang w:val="en-GB"/>
              </w:rPr>
              <w:t>o</w:t>
            </w:r>
            <w:r w:rsidRPr="000B09FB">
              <w:rPr>
                <w:rFonts w:ascii="Arial" w:hAnsi="Arial" w:cs="Arial"/>
                <w:sz w:val="20"/>
                <w:szCs w:val="20"/>
                <w:lang w:val="en-GB"/>
              </w:rPr>
              <w:t>rganisation:</w:t>
            </w:r>
          </w:p>
          <w:p w14:paraId="3DBE16CE" w14:textId="77777777" w:rsidR="000B09FB" w:rsidRPr="000B09FB" w:rsidRDefault="000B09FB" w:rsidP="000B09FB">
            <w:pPr>
              <w:rPr>
                <w:rFonts w:ascii="Arial" w:hAnsi="Arial" w:cs="Arial"/>
                <w:sz w:val="20"/>
                <w:szCs w:val="20"/>
                <w:lang w:val="en-GB"/>
              </w:rPr>
            </w:pPr>
          </w:p>
        </w:tc>
      </w:tr>
      <w:tr w:rsidR="000B09FB" w:rsidRPr="000B09FB" w14:paraId="7C91B863" w14:textId="77777777" w:rsidTr="008D4483">
        <w:trPr>
          <w:cantSplit/>
          <w:trHeight w:val="232"/>
        </w:trPr>
        <w:tc>
          <w:tcPr>
            <w:tcW w:w="8568" w:type="dxa"/>
            <w:gridSpan w:val="14"/>
            <w:shd w:val="clear" w:color="auto" w:fill="auto"/>
            <w:noWrap/>
            <w:tcMar>
              <w:top w:w="0" w:type="dxa"/>
              <w:left w:w="108" w:type="dxa"/>
              <w:bottom w:w="0" w:type="dxa"/>
              <w:right w:w="108" w:type="dxa"/>
            </w:tcMar>
          </w:tcPr>
          <w:p w14:paraId="30886B86" w14:textId="77777777" w:rsidR="000B09FB" w:rsidRPr="000B09FB" w:rsidRDefault="000B09FB" w:rsidP="000B09FB">
            <w:pPr>
              <w:rPr>
                <w:rFonts w:ascii="Arial" w:hAnsi="Arial" w:cs="Arial"/>
                <w:sz w:val="20"/>
                <w:szCs w:val="20"/>
                <w:lang w:val="en-GB"/>
              </w:rPr>
            </w:pPr>
            <w:r w:rsidRPr="000B09FB">
              <w:rPr>
                <w:rFonts w:ascii="Arial" w:hAnsi="Arial" w:cs="Arial"/>
                <w:bCs/>
                <w:sz w:val="20"/>
                <w:szCs w:val="20"/>
                <w:lang w:val="en-GB"/>
              </w:rPr>
              <w:t>3. To which part of the Local Plan does this representation relate?</w:t>
            </w:r>
          </w:p>
        </w:tc>
      </w:tr>
      <w:tr w:rsidR="000B09FB" w:rsidRPr="000B09FB" w14:paraId="3EB47622" w14:textId="77777777" w:rsidTr="008D4483">
        <w:trPr>
          <w:cantSplit/>
          <w:trHeight w:val="232"/>
        </w:trPr>
        <w:tc>
          <w:tcPr>
            <w:tcW w:w="8568" w:type="dxa"/>
            <w:gridSpan w:val="14"/>
            <w:shd w:val="clear" w:color="auto" w:fill="auto"/>
            <w:noWrap/>
            <w:tcMar>
              <w:top w:w="0" w:type="dxa"/>
              <w:left w:w="108" w:type="dxa"/>
              <w:bottom w:w="0" w:type="dxa"/>
              <w:right w:w="108" w:type="dxa"/>
            </w:tcMar>
          </w:tcPr>
          <w:p w14:paraId="7D5B9D74" w14:textId="77777777" w:rsidR="000B09FB" w:rsidRPr="000B09FB" w:rsidRDefault="000B09FB" w:rsidP="000B09FB">
            <w:pPr>
              <w:rPr>
                <w:rFonts w:ascii="Arial" w:hAnsi="Arial" w:cs="Arial"/>
                <w:sz w:val="20"/>
                <w:szCs w:val="20"/>
                <w:lang w:val="en-GB"/>
              </w:rPr>
            </w:pPr>
          </w:p>
        </w:tc>
      </w:tr>
      <w:tr w:rsidR="000B09FB" w:rsidRPr="000B09FB" w14:paraId="23C608A7" w14:textId="77777777" w:rsidTr="008D4483">
        <w:trPr>
          <w:cantSplit/>
          <w:trHeight w:val="567"/>
        </w:trPr>
        <w:tc>
          <w:tcPr>
            <w:tcW w:w="1260" w:type="dxa"/>
            <w:gridSpan w:val="2"/>
            <w:tcBorders>
              <w:right w:val="single" w:sz="8" w:space="0" w:color="000000"/>
            </w:tcBorders>
            <w:shd w:val="clear" w:color="auto" w:fill="auto"/>
            <w:noWrap/>
            <w:tcMar>
              <w:top w:w="0" w:type="dxa"/>
              <w:left w:w="108" w:type="dxa"/>
              <w:bottom w:w="0" w:type="dxa"/>
              <w:right w:w="108" w:type="dxa"/>
            </w:tcMar>
          </w:tcPr>
          <w:p w14:paraId="2C24CE18"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Paragraph</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033D19" w14:textId="77777777" w:rsidR="000B09FB" w:rsidRPr="000B09FB" w:rsidRDefault="000B09FB" w:rsidP="000B09FB">
            <w:pPr>
              <w:rPr>
                <w:rFonts w:ascii="Arial" w:hAnsi="Arial" w:cs="Arial"/>
                <w:sz w:val="20"/>
                <w:szCs w:val="20"/>
                <w:lang w:val="en-GB"/>
              </w:rPr>
            </w:pPr>
          </w:p>
        </w:tc>
        <w:tc>
          <w:tcPr>
            <w:tcW w:w="1080" w:type="dxa"/>
            <w:gridSpan w:val="2"/>
            <w:tcBorders>
              <w:left w:val="single" w:sz="8" w:space="0" w:color="000000"/>
              <w:right w:val="single" w:sz="8" w:space="0" w:color="000000"/>
            </w:tcBorders>
            <w:shd w:val="clear" w:color="auto" w:fill="auto"/>
            <w:noWrap/>
            <w:tcMar>
              <w:top w:w="0" w:type="dxa"/>
              <w:left w:w="108" w:type="dxa"/>
              <w:bottom w:w="0" w:type="dxa"/>
              <w:right w:w="108" w:type="dxa"/>
            </w:tcMar>
          </w:tcPr>
          <w:p w14:paraId="664B9B68"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Policy</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95CEE0" w14:textId="105481D4" w:rsidR="000B09FB" w:rsidRPr="000B09FB" w:rsidRDefault="006C031A" w:rsidP="000B09FB">
            <w:pPr>
              <w:rPr>
                <w:rFonts w:ascii="Arial" w:hAnsi="Arial" w:cs="Arial"/>
                <w:sz w:val="20"/>
                <w:szCs w:val="20"/>
                <w:lang w:val="en-GB"/>
              </w:rPr>
            </w:pPr>
            <w:r>
              <w:rPr>
                <w:rFonts w:ascii="Arial" w:hAnsi="Arial" w:cs="Arial"/>
                <w:sz w:val="20"/>
                <w:szCs w:val="20"/>
                <w:lang w:val="en-GB"/>
              </w:rPr>
              <w:t>DS2(S)</w:t>
            </w:r>
          </w:p>
        </w:tc>
        <w:tc>
          <w:tcPr>
            <w:tcW w:w="1631" w:type="dxa"/>
            <w:gridSpan w:val="4"/>
            <w:tcBorders>
              <w:left w:val="single" w:sz="8" w:space="0" w:color="000000"/>
              <w:right w:val="single" w:sz="8" w:space="0" w:color="000000"/>
            </w:tcBorders>
            <w:shd w:val="clear" w:color="auto" w:fill="auto"/>
            <w:tcMar>
              <w:top w:w="0" w:type="dxa"/>
              <w:left w:w="108" w:type="dxa"/>
              <w:bottom w:w="0" w:type="dxa"/>
              <w:right w:w="108" w:type="dxa"/>
            </w:tcMar>
          </w:tcPr>
          <w:p w14:paraId="772E6F5E"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Policies Map</w:t>
            </w:r>
          </w:p>
        </w:tc>
        <w:tc>
          <w:tcPr>
            <w:tcW w:w="207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B735D10" w14:textId="77777777" w:rsidR="000B09FB" w:rsidRPr="000B09FB" w:rsidRDefault="000B09FB" w:rsidP="000B09FB">
            <w:pPr>
              <w:rPr>
                <w:rFonts w:ascii="Arial" w:hAnsi="Arial" w:cs="Arial"/>
                <w:sz w:val="20"/>
                <w:szCs w:val="20"/>
                <w:lang w:val="en-GB"/>
              </w:rPr>
            </w:pPr>
          </w:p>
        </w:tc>
      </w:tr>
      <w:tr w:rsidR="000B09FB" w:rsidRPr="000B09FB" w14:paraId="3572DEF0" w14:textId="77777777" w:rsidTr="008D4483">
        <w:trPr>
          <w:cantSplit/>
          <w:trHeight w:val="300"/>
        </w:trPr>
        <w:tc>
          <w:tcPr>
            <w:tcW w:w="8568" w:type="dxa"/>
            <w:gridSpan w:val="14"/>
            <w:shd w:val="clear" w:color="auto" w:fill="auto"/>
            <w:noWrap/>
            <w:tcMar>
              <w:top w:w="0" w:type="dxa"/>
              <w:left w:w="108" w:type="dxa"/>
              <w:bottom w:w="0" w:type="dxa"/>
              <w:right w:w="108" w:type="dxa"/>
            </w:tcMar>
            <w:vAlign w:val="center"/>
          </w:tcPr>
          <w:p w14:paraId="7F46C056" w14:textId="77777777" w:rsidR="00BB3056" w:rsidRDefault="00BB3056" w:rsidP="000B09FB">
            <w:pPr>
              <w:rPr>
                <w:rFonts w:ascii="Arial" w:hAnsi="Arial" w:cs="Arial"/>
                <w:sz w:val="20"/>
                <w:szCs w:val="20"/>
                <w:lang w:val="en-GB"/>
              </w:rPr>
            </w:pPr>
          </w:p>
          <w:p w14:paraId="584DA2FE"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4. Do you consider the Local Plan is  :</w:t>
            </w:r>
          </w:p>
        </w:tc>
      </w:tr>
      <w:tr w:rsidR="000B09FB" w:rsidRPr="000B09FB" w14:paraId="20937456" w14:textId="77777777" w:rsidTr="008D4483">
        <w:trPr>
          <w:cantSplit/>
          <w:trHeight w:val="150"/>
        </w:trPr>
        <w:tc>
          <w:tcPr>
            <w:tcW w:w="3513" w:type="dxa"/>
            <w:gridSpan w:val="4"/>
            <w:vMerge w:val="restart"/>
            <w:shd w:val="clear" w:color="auto" w:fill="auto"/>
            <w:noWrap/>
            <w:tcMar>
              <w:top w:w="0" w:type="dxa"/>
              <w:left w:w="108" w:type="dxa"/>
              <w:bottom w:w="0" w:type="dxa"/>
              <w:right w:w="108" w:type="dxa"/>
            </w:tcMar>
            <w:vAlign w:val="center"/>
          </w:tcPr>
          <w:p w14:paraId="12DF6FE9"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4.(1) Legally compliant</w:t>
            </w:r>
          </w:p>
          <w:p w14:paraId="20D50581" w14:textId="77777777" w:rsidR="000B09FB" w:rsidRPr="000B09FB" w:rsidRDefault="000B09FB" w:rsidP="000B09FB">
            <w:pPr>
              <w:rPr>
                <w:rFonts w:ascii="Arial" w:hAnsi="Arial" w:cs="Arial"/>
                <w:sz w:val="20"/>
                <w:szCs w:val="20"/>
                <w:lang w:val="en-GB"/>
              </w:rPr>
            </w:pPr>
          </w:p>
          <w:p w14:paraId="2740E0C2"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4.(2) Sound</w:t>
            </w:r>
          </w:p>
        </w:tc>
        <w:tc>
          <w:tcPr>
            <w:tcW w:w="1275" w:type="dxa"/>
            <w:gridSpan w:val="2"/>
            <w:vMerge w:val="restart"/>
            <w:tcBorders>
              <w:right w:val="single" w:sz="8" w:space="0" w:color="000000"/>
            </w:tcBorders>
            <w:shd w:val="clear" w:color="auto" w:fill="auto"/>
            <w:noWrap/>
            <w:tcMar>
              <w:top w:w="0" w:type="dxa"/>
              <w:left w:w="108" w:type="dxa"/>
              <w:bottom w:w="0" w:type="dxa"/>
              <w:right w:w="108" w:type="dxa"/>
            </w:tcMar>
            <w:vAlign w:val="center"/>
          </w:tcPr>
          <w:p w14:paraId="7EFB4378"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Yes</w:t>
            </w:r>
          </w:p>
          <w:p w14:paraId="0858605D" w14:textId="77777777" w:rsidR="000B09FB" w:rsidRPr="000B09FB" w:rsidRDefault="000B09FB" w:rsidP="000B09FB">
            <w:pPr>
              <w:rPr>
                <w:rFonts w:ascii="Arial" w:hAnsi="Arial" w:cs="Arial"/>
                <w:sz w:val="20"/>
                <w:szCs w:val="20"/>
                <w:lang w:val="en-GB"/>
              </w:rPr>
            </w:pPr>
          </w:p>
          <w:p w14:paraId="41757660"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Yes </w:t>
            </w:r>
          </w:p>
        </w:tc>
        <w:tc>
          <w:tcPr>
            <w:tcW w:w="1080" w:type="dxa"/>
            <w:gridSpan w:val="3"/>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524B0941" w14:textId="5EEF76EC" w:rsidR="000B09FB" w:rsidRPr="000B09FB" w:rsidRDefault="00040E9E" w:rsidP="000B09FB">
            <w:pPr>
              <w:rPr>
                <w:rFonts w:ascii="Arial" w:hAnsi="Arial" w:cs="Arial"/>
                <w:sz w:val="20"/>
                <w:szCs w:val="20"/>
                <w:lang w:val="en-GB"/>
              </w:rPr>
            </w:pPr>
            <w:r>
              <w:rPr>
                <w:rFonts w:ascii="Arial" w:hAnsi="Arial" w:cs="Arial"/>
                <w:sz w:val="20"/>
                <w:szCs w:val="20"/>
                <w:lang w:val="en-GB"/>
              </w:rPr>
              <w:sym w:font="Wingdings 2" w:char="F050"/>
            </w:r>
          </w:p>
          <w:p w14:paraId="23AEEE4A" w14:textId="77777777" w:rsidR="000B09FB" w:rsidRPr="000B09FB" w:rsidRDefault="000B09FB" w:rsidP="000B09FB">
            <w:pPr>
              <w:rPr>
                <w:rFonts w:ascii="Arial" w:hAnsi="Arial" w:cs="Arial"/>
                <w:sz w:val="20"/>
                <w:szCs w:val="20"/>
                <w:lang w:val="en-GB"/>
              </w:rPr>
            </w:pPr>
          </w:p>
        </w:tc>
        <w:tc>
          <w:tcPr>
            <w:tcW w:w="843" w:type="dxa"/>
            <w:gridSpan w:val="3"/>
            <w:vMerge w:val="restart"/>
            <w:tcBorders>
              <w:left w:val="single" w:sz="8" w:space="0" w:color="000000"/>
            </w:tcBorders>
            <w:shd w:val="clear" w:color="auto" w:fill="auto"/>
            <w:noWrap/>
            <w:tcMar>
              <w:top w:w="0" w:type="dxa"/>
              <w:left w:w="108" w:type="dxa"/>
              <w:bottom w:w="0" w:type="dxa"/>
              <w:right w:w="108" w:type="dxa"/>
            </w:tcMar>
            <w:vAlign w:val="center"/>
          </w:tcPr>
          <w:p w14:paraId="08F84109" w14:textId="77777777" w:rsidR="000B09FB" w:rsidRPr="000B09FB" w:rsidRDefault="000B09FB" w:rsidP="000B09FB">
            <w:pPr>
              <w:rPr>
                <w:rFonts w:ascii="Arial" w:hAnsi="Arial" w:cs="Arial"/>
                <w:sz w:val="20"/>
                <w:szCs w:val="20"/>
                <w:lang w:val="en-GB"/>
              </w:rPr>
            </w:pPr>
          </w:p>
        </w:tc>
        <w:tc>
          <w:tcPr>
            <w:tcW w:w="777" w:type="dxa"/>
            <w:vMerge w:val="restart"/>
            <w:tcBorders>
              <w:right w:val="single" w:sz="8" w:space="0" w:color="000000"/>
            </w:tcBorders>
            <w:shd w:val="clear" w:color="auto" w:fill="auto"/>
            <w:noWrap/>
            <w:tcMar>
              <w:top w:w="0" w:type="dxa"/>
              <w:left w:w="108" w:type="dxa"/>
              <w:bottom w:w="0" w:type="dxa"/>
              <w:right w:w="108" w:type="dxa"/>
            </w:tcMar>
            <w:vAlign w:val="center"/>
          </w:tcPr>
          <w:p w14:paraId="36E3B9EE"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No     </w:t>
            </w:r>
          </w:p>
          <w:p w14:paraId="5960BA1F" w14:textId="77777777" w:rsidR="000B09FB" w:rsidRPr="000B09FB" w:rsidRDefault="000B09FB" w:rsidP="000B09FB">
            <w:pPr>
              <w:rPr>
                <w:rFonts w:ascii="Arial" w:hAnsi="Arial" w:cs="Arial"/>
                <w:sz w:val="20"/>
                <w:szCs w:val="20"/>
                <w:lang w:val="en-GB"/>
              </w:rPr>
            </w:pPr>
          </w:p>
          <w:p w14:paraId="6ED12F38"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No</w:t>
            </w:r>
          </w:p>
        </w:tc>
        <w:tc>
          <w:tcPr>
            <w:tcW w:w="108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6A0D7020" w14:textId="4522B10F" w:rsidR="000B09FB" w:rsidRPr="000B09FB" w:rsidRDefault="000B09FB" w:rsidP="000B09FB">
            <w:pPr>
              <w:rPr>
                <w:rFonts w:ascii="Arial" w:hAnsi="Arial" w:cs="Arial"/>
                <w:sz w:val="20"/>
                <w:szCs w:val="20"/>
                <w:lang w:val="en-GB"/>
              </w:rPr>
            </w:pPr>
          </w:p>
        </w:tc>
      </w:tr>
      <w:tr w:rsidR="000B09FB" w:rsidRPr="000B09FB" w14:paraId="1520357D" w14:textId="77777777" w:rsidTr="008D4483">
        <w:trPr>
          <w:cantSplit/>
          <w:trHeight w:val="300"/>
        </w:trPr>
        <w:tc>
          <w:tcPr>
            <w:tcW w:w="3513" w:type="dxa"/>
            <w:gridSpan w:val="4"/>
            <w:vMerge/>
            <w:shd w:val="clear" w:color="auto" w:fill="auto"/>
            <w:noWrap/>
            <w:tcMar>
              <w:top w:w="0" w:type="dxa"/>
              <w:left w:w="108" w:type="dxa"/>
              <w:bottom w:w="0" w:type="dxa"/>
              <w:right w:w="108" w:type="dxa"/>
            </w:tcMar>
            <w:vAlign w:val="center"/>
          </w:tcPr>
          <w:p w14:paraId="53E2D29F" w14:textId="77777777" w:rsidR="000B09FB" w:rsidRPr="000B09FB" w:rsidRDefault="000B09FB" w:rsidP="000B09FB">
            <w:pPr>
              <w:rPr>
                <w:rFonts w:ascii="Arial" w:hAnsi="Arial" w:cs="Arial"/>
                <w:sz w:val="20"/>
                <w:szCs w:val="20"/>
                <w:lang w:val="en-GB"/>
              </w:rPr>
            </w:pPr>
          </w:p>
        </w:tc>
        <w:tc>
          <w:tcPr>
            <w:tcW w:w="1275" w:type="dxa"/>
            <w:gridSpan w:val="2"/>
            <w:vMerge/>
            <w:shd w:val="clear" w:color="auto" w:fill="auto"/>
            <w:noWrap/>
            <w:tcMar>
              <w:top w:w="0" w:type="dxa"/>
              <w:left w:w="108" w:type="dxa"/>
              <w:bottom w:w="0" w:type="dxa"/>
              <w:right w:w="108" w:type="dxa"/>
            </w:tcMar>
            <w:vAlign w:val="center"/>
          </w:tcPr>
          <w:p w14:paraId="3FB6ED43" w14:textId="77777777" w:rsidR="000B09FB" w:rsidRPr="000B09FB" w:rsidRDefault="000B09FB" w:rsidP="000B09FB">
            <w:pPr>
              <w:rPr>
                <w:rFonts w:ascii="Arial" w:hAnsi="Arial" w:cs="Arial"/>
                <w:sz w:val="20"/>
                <w:szCs w:val="20"/>
                <w:lang w:val="en-GB"/>
              </w:rPr>
            </w:pPr>
          </w:p>
        </w:tc>
        <w:tc>
          <w:tcPr>
            <w:tcW w:w="1080" w:type="dxa"/>
            <w:gridSpan w:val="3"/>
            <w:tcBorders>
              <w:top w:val="single" w:sz="8" w:space="0" w:color="000000"/>
              <w:bottom w:val="single" w:sz="8" w:space="0" w:color="000000"/>
            </w:tcBorders>
            <w:shd w:val="clear" w:color="auto" w:fill="auto"/>
            <w:tcMar>
              <w:top w:w="0" w:type="dxa"/>
              <w:left w:w="108" w:type="dxa"/>
              <w:bottom w:w="0" w:type="dxa"/>
              <w:right w:w="108" w:type="dxa"/>
            </w:tcMar>
            <w:vAlign w:val="center"/>
          </w:tcPr>
          <w:p w14:paraId="67B8F276" w14:textId="77777777" w:rsidR="000B09FB" w:rsidRPr="000B09FB" w:rsidRDefault="000B09FB" w:rsidP="000B09FB">
            <w:pPr>
              <w:rPr>
                <w:rFonts w:ascii="Arial" w:hAnsi="Arial" w:cs="Arial"/>
                <w:sz w:val="20"/>
                <w:szCs w:val="20"/>
                <w:lang w:val="en-GB"/>
              </w:rPr>
            </w:pPr>
          </w:p>
        </w:tc>
        <w:tc>
          <w:tcPr>
            <w:tcW w:w="843" w:type="dxa"/>
            <w:gridSpan w:val="3"/>
            <w:vMerge/>
            <w:tcBorders>
              <w:left w:val="nil"/>
            </w:tcBorders>
            <w:shd w:val="clear" w:color="auto" w:fill="auto"/>
            <w:noWrap/>
            <w:tcMar>
              <w:top w:w="0" w:type="dxa"/>
              <w:left w:w="108" w:type="dxa"/>
              <w:bottom w:w="0" w:type="dxa"/>
              <w:right w:w="108" w:type="dxa"/>
            </w:tcMar>
            <w:vAlign w:val="center"/>
          </w:tcPr>
          <w:p w14:paraId="3D3A91E0" w14:textId="77777777" w:rsidR="000B09FB" w:rsidRPr="000B09FB" w:rsidRDefault="000B09FB" w:rsidP="000B09FB">
            <w:pPr>
              <w:rPr>
                <w:rFonts w:ascii="Arial" w:hAnsi="Arial" w:cs="Arial"/>
                <w:sz w:val="20"/>
                <w:szCs w:val="20"/>
                <w:lang w:val="en-GB"/>
              </w:rPr>
            </w:pPr>
          </w:p>
        </w:tc>
        <w:tc>
          <w:tcPr>
            <w:tcW w:w="777" w:type="dxa"/>
            <w:vMerge/>
            <w:shd w:val="clear" w:color="auto" w:fill="auto"/>
            <w:noWrap/>
            <w:tcMar>
              <w:top w:w="0" w:type="dxa"/>
              <w:left w:w="108" w:type="dxa"/>
              <w:bottom w:w="0" w:type="dxa"/>
              <w:right w:w="108" w:type="dxa"/>
            </w:tcMar>
            <w:vAlign w:val="center"/>
          </w:tcPr>
          <w:p w14:paraId="0AFB25A1" w14:textId="77777777" w:rsidR="000B09FB" w:rsidRPr="000B09FB" w:rsidRDefault="000B09FB" w:rsidP="000B09FB">
            <w:pPr>
              <w:rPr>
                <w:rFonts w:ascii="Arial" w:hAnsi="Arial" w:cs="Arial"/>
                <w:sz w:val="20"/>
                <w:szCs w:val="20"/>
                <w:lang w:val="en-GB"/>
              </w:rPr>
            </w:pPr>
          </w:p>
        </w:tc>
        <w:tc>
          <w:tcPr>
            <w:tcW w:w="1080" w:type="dxa"/>
            <w:tcBorders>
              <w:top w:val="single" w:sz="8" w:space="0" w:color="000000"/>
              <w:bottom w:val="single" w:sz="8" w:space="0" w:color="000000"/>
            </w:tcBorders>
            <w:shd w:val="clear" w:color="auto" w:fill="auto"/>
            <w:noWrap/>
            <w:tcMar>
              <w:top w:w="0" w:type="dxa"/>
              <w:left w:w="108" w:type="dxa"/>
              <w:bottom w:w="0" w:type="dxa"/>
              <w:right w:w="108" w:type="dxa"/>
            </w:tcMar>
            <w:vAlign w:val="center"/>
          </w:tcPr>
          <w:p w14:paraId="5FDF5080" w14:textId="77777777" w:rsidR="000B09FB" w:rsidRPr="000B09FB" w:rsidRDefault="000B09FB" w:rsidP="000B09FB">
            <w:pPr>
              <w:rPr>
                <w:rFonts w:ascii="Arial" w:hAnsi="Arial" w:cs="Arial"/>
                <w:sz w:val="20"/>
                <w:szCs w:val="20"/>
                <w:lang w:val="en-GB"/>
              </w:rPr>
            </w:pPr>
          </w:p>
        </w:tc>
      </w:tr>
      <w:tr w:rsidR="000B09FB" w:rsidRPr="000B09FB" w14:paraId="36389418" w14:textId="77777777" w:rsidTr="008D4483">
        <w:trPr>
          <w:cantSplit/>
          <w:trHeight w:val="60"/>
        </w:trPr>
        <w:tc>
          <w:tcPr>
            <w:tcW w:w="3513" w:type="dxa"/>
            <w:gridSpan w:val="4"/>
            <w:vMerge/>
            <w:shd w:val="clear" w:color="auto" w:fill="auto"/>
            <w:noWrap/>
            <w:tcMar>
              <w:top w:w="0" w:type="dxa"/>
              <w:left w:w="108" w:type="dxa"/>
              <w:bottom w:w="0" w:type="dxa"/>
              <w:right w:w="108" w:type="dxa"/>
            </w:tcMar>
            <w:vAlign w:val="center"/>
          </w:tcPr>
          <w:p w14:paraId="0FB0C0F9" w14:textId="77777777" w:rsidR="000B09FB" w:rsidRPr="000B09FB" w:rsidRDefault="000B09FB" w:rsidP="000B09FB">
            <w:pPr>
              <w:rPr>
                <w:rFonts w:ascii="Arial" w:hAnsi="Arial" w:cs="Arial"/>
                <w:sz w:val="20"/>
                <w:szCs w:val="20"/>
                <w:lang w:val="en-GB"/>
              </w:rPr>
            </w:pPr>
          </w:p>
        </w:tc>
        <w:tc>
          <w:tcPr>
            <w:tcW w:w="1275" w:type="dxa"/>
            <w:gridSpan w:val="2"/>
            <w:vMerge/>
            <w:tcBorders>
              <w:right w:val="single" w:sz="8" w:space="0" w:color="000000"/>
            </w:tcBorders>
            <w:shd w:val="clear" w:color="auto" w:fill="auto"/>
            <w:noWrap/>
            <w:tcMar>
              <w:top w:w="0" w:type="dxa"/>
              <w:left w:w="108" w:type="dxa"/>
              <w:bottom w:w="0" w:type="dxa"/>
              <w:right w:w="108" w:type="dxa"/>
            </w:tcMar>
            <w:vAlign w:val="center"/>
          </w:tcPr>
          <w:p w14:paraId="0AE7CBA7" w14:textId="77777777" w:rsidR="000B09FB" w:rsidRPr="000B09FB" w:rsidRDefault="000B09FB" w:rsidP="000B09FB">
            <w:pPr>
              <w:rPr>
                <w:rFonts w:ascii="Arial" w:hAnsi="Arial" w:cs="Arial"/>
                <w:sz w:val="20"/>
                <w:szCs w:val="20"/>
                <w:lang w:val="en-GB"/>
              </w:rPr>
            </w:pPr>
          </w:p>
        </w:tc>
        <w:tc>
          <w:tcPr>
            <w:tcW w:w="1080" w:type="dxa"/>
            <w:gridSpan w:val="3"/>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797C8C2C" w14:textId="77777777" w:rsidR="000B09FB" w:rsidRPr="000B09FB" w:rsidRDefault="000B09FB" w:rsidP="000B09FB">
            <w:pPr>
              <w:rPr>
                <w:rFonts w:ascii="Arial" w:hAnsi="Arial" w:cs="Arial"/>
                <w:sz w:val="20"/>
                <w:szCs w:val="20"/>
                <w:lang w:val="en-GB"/>
              </w:rPr>
            </w:pPr>
          </w:p>
          <w:p w14:paraId="3A1A7144" w14:textId="77777777" w:rsidR="000B09FB" w:rsidRPr="000B09FB" w:rsidRDefault="000B09FB" w:rsidP="000B09FB">
            <w:pPr>
              <w:rPr>
                <w:rFonts w:ascii="Arial" w:hAnsi="Arial" w:cs="Arial"/>
                <w:sz w:val="20"/>
                <w:szCs w:val="20"/>
                <w:lang w:val="en-GB"/>
              </w:rPr>
            </w:pPr>
          </w:p>
        </w:tc>
        <w:tc>
          <w:tcPr>
            <w:tcW w:w="843" w:type="dxa"/>
            <w:gridSpan w:val="3"/>
            <w:vMerge/>
            <w:tcBorders>
              <w:left w:val="single" w:sz="8" w:space="0" w:color="000000"/>
            </w:tcBorders>
            <w:shd w:val="clear" w:color="auto" w:fill="auto"/>
            <w:noWrap/>
            <w:tcMar>
              <w:top w:w="0" w:type="dxa"/>
              <w:left w:w="108" w:type="dxa"/>
              <w:bottom w:w="0" w:type="dxa"/>
              <w:right w:w="108" w:type="dxa"/>
            </w:tcMar>
            <w:vAlign w:val="center"/>
          </w:tcPr>
          <w:p w14:paraId="23780C28" w14:textId="77777777" w:rsidR="000B09FB" w:rsidRPr="000B09FB" w:rsidRDefault="000B09FB" w:rsidP="000B09FB">
            <w:pPr>
              <w:rPr>
                <w:rFonts w:ascii="Arial" w:hAnsi="Arial" w:cs="Arial"/>
                <w:sz w:val="20"/>
                <w:szCs w:val="20"/>
                <w:lang w:val="en-GB"/>
              </w:rPr>
            </w:pPr>
          </w:p>
        </w:tc>
        <w:tc>
          <w:tcPr>
            <w:tcW w:w="777" w:type="dxa"/>
            <w:vMerge/>
            <w:tcBorders>
              <w:right w:val="single" w:sz="8" w:space="0" w:color="000000"/>
            </w:tcBorders>
            <w:shd w:val="clear" w:color="auto" w:fill="auto"/>
            <w:noWrap/>
            <w:tcMar>
              <w:top w:w="0" w:type="dxa"/>
              <w:left w:w="108" w:type="dxa"/>
              <w:bottom w:w="0" w:type="dxa"/>
              <w:right w:w="108" w:type="dxa"/>
            </w:tcMar>
            <w:vAlign w:val="center"/>
          </w:tcPr>
          <w:p w14:paraId="4F7714D3" w14:textId="77777777" w:rsidR="000B09FB" w:rsidRPr="000B09FB" w:rsidRDefault="000B09FB" w:rsidP="000B09FB">
            <w:pPr>
              <w:rPr>
                <w:rFonts w:ascii="Arial" w:hAnsi="Arial" w:cs="Arial"/>
                <w:sz w:val="20"/>
                <w:szCs w:val="20"/>
                <w:lang w:val="en-GB"/>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2666C8A2" w14:textId="0782A1E6" w:rsidR="000B09FB" w:rsidRPr="000B09FB" w:rsidRDefault="006C031A" w:rsidP="000B09FB">
            <w:pPr>
              <w:rPr>
                <w:rFonts w:ascii="Arial" w:hAnsi="Arial" w:cs="Arial"/>
                <w:sz w:val="20"/>
                <w:szCs w:val="20"/>
                <w:lang w:val="en-GB"/>
              </w:rPr>
            </w:pPr>
            <w:r>
              <w:rPr>
                <w:rFonts w:ascii="Arial" w:hAnsi="Arial" w:cs="Arial"/>
                <w:sz w:val="20"/>
                <w:szCs w:val="20"/>
                <w:lang w:val="en-GB"/>
              </w:rPr>
              <w:sym w:font="Wingdings 2" w:char="F050"/>
            </w:r>
          </w:p>
          <w:p w14:paraId="502BAA7E" w14:textId="77777777" w:rsidR="000B09FB" w:rsidRPr="000B09FB" w:rsidRDefault="000B09FB" w:rsidP="000B09FB">
            <w:pPr>
              <w:rPr>
                <w:rFonts w:ascii="Arial" w:hAnsi="Arial" w:cs="Arial"/>
                <w:sz w:val="20"/>
                <w:szCs w:val="20"/>
                <w:lang w:val="en-GB"/>
              </w:rPr>
            </w:pPr>
          </w:p>
        </w:tc>
      </w:tr>
      <w:tr w:rsidR="000B09FB" w:rsidRPr="000B09FB" w14:paraId="2173F349" w14:textId="77777777" w:rsidTr="008D4483">
        <w:trPr>
          <w:cantSplit/>
          <w:trHeight w:val="405"/>
        </w:trPr>
        <w:tc>
          <w:tcPr>
            <w:tcW w:w="8568" w:type="dxa"/>
            <w:gridSpan w:val="14"/>
            <w:shd w:val="clear" w:color="auto" w:fill="auto"/>
            <w:noWrap/>
            <w:tcMar>
              <w:top w:w="0" w:type="dxa"/>
              <w:left w:w="108" w:type="dxa"/>
              <w:bottom w:w="0" w:type="dxa"/>
              <w:right w:w="108" w:type="dxa"/>
            </w:tcMar>
          </w:tcPr>
          <w:p w14:paraId="33961AE9" w14:textId="77777777" w:rsidR="007E61ED" w:rsidRPr="000B09FB" w:rsidRDefault="007E61ED" w:rsidP="007E61ED">
            <w:pPr>
              <w:rPr>
                <w:rFonts w:ascii="Arial" w:hAnsi="Arial" w:cs="Arial"/>
                <w:iCs/>
                <w:sz w:val="20"/>
                <w:szCs w:val="20"/>
                <w:lang w:val="en-GB"/>
              </w:rPr>
            </w:pPr>
            <w:r w:rsidRPr="000B09FB">
              <w:rPr>
                <w:rFonts w:ascii="Arial" w:hAnsi="Arial" w:cs="Arial"/>
                <w:iCs/>
                <w:sz w:val="20"/>
                <w:szCs w:val="20"/>
                <w:lang w:val="en-GB"/>
              </w:rPr>
              <w:t>4 (3) Complies with the</w:t>
            </w:r>
            <w:r>
              <w:rPr>
                <w:rFonts w:ascii="Arial" w:hAnsi="Arial" w:cs="Arial"/>
                <w:iCs/>
                <w:sz w:val="20"/>
                <w:szCs w:val="20"/>
                <w:lang w:val="en-GB"/>
              </w:rPr>
              <w:t xml:space="preserve"> </w:t>
            </w:r>
          </w:p>
          <w:p w14:paraId="20932D58" w14:textId="77777777" w:rsidR="000B09FB" w:rsidRPr="000B09FB" w:rsidRDefault="000B09FB" w:rsidP="000B09FB">
            <w:pPr>
              <w:rPr>
                <w:rFonts w:ascii="Arial" w:hAnsi="Arial" w:cs="Arial"/>
                <w:sz w:val="20"/>
                <w:szCs w:val="20"/>
                <w:lang w:val="en-GB"/>
              </w:rPr>
            </w:pPr>
            <w:r w:rsidRPr="000B09FB">
              <w:rPr>
                <w:rFonts w:ascii="Arial" w:hAnsi="Arial" w:cs="Arial"/>
                <w:iCs/>
                <w:noProof/>
                <w:sz w:val="20"/>
                <w:szCs w:val="20"/>
                <w:lang w:val="en-GB" w:eastAsia="en-GB"/>
              </w:rPr>
              <mc:AlternateContent>
                <mc:Choice Requires="wps">
                  <w:drawing>
                    <wp:anchor distT="0" distB="0" distL="114300" distR="114300" simplePos="0" relativeHeight="251661312" behindDoc="0" locked="0" layoutInCell="1" allowOverlap="1" wp14:anchorId="66CEBF61" wp14:editId="2490D058">
                      <wp:simplePos x="0" y="0"/>
                      <wp:positionH relativeFrom="column">
                        <wp:posOffset>2971800</wp:posOffset>
                      </wp:positionH>
                      <wp:positionV relativeFrom="paragraph">
                        <wp:posOffset>3172</wp:posOffset>
                      </wp:positionV>
                      <wp:extent cx="685800" cy="313053"/>
                      <wp:effectExtent l="0" t="0" r="19050" b="10797"/>
                      <wp:wrapNone/>
                      <wp:docPr id="1" name="Text Box 2"/>
                      <wp:cNvGraphicFramePr/>
                      <a:graphic xmlns:a="http://schemas.openxmlformats.org/drawingml/2006/main">
                        <a:graphicData uri="http://schemas.microsoft.com/office/word/2010/wordprocessingShape">
                          <wps:wsp>
                            <wps:cNvSpPr txBox="1"/>
                            <wps:spPr>
                              <a:xfrm>
                                <a:off x="0" y="0"/>
                                <a:ext cx="685800" cy="313053"/>
                              </a:xfrm>
                              <a:prstGeom prst="rect">
                                <a:avLst/>
                              </a:prstGeom>
                              <a:solidFill>
                                <a:srgbClr val="FFFFFF"/>
                              </a:solidFill>
                              <a:ln w="9528">
                                <a:solidFill>
                                  <a:srgbClr val="000000"/>
                                </a:solidFill>
                                <a:prstDash val="solid"/>
                              </a:ln>
                            </wps:spPr>
                            <wps:txbx>
                              <w:txbxContent>
                                <w:p w14:paraId="1E13A5C6" w14:textId="3989AE2D" w:rsidR="000B09FB" w:rsidRDefault="006C031A" w:rsidP="000B09FB">
                                  <w:r>
                                    <w:sym w:font="Wingdings 2" w:char="F050"/>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CEBF61" id="_x0000_t202" coordsize="21600,21600" o:spt="202" path="m,l,21600r21600,l21600,xe">
                      <v:stroke joinstyle="miter"/>
                      <v:path gradientshapeok="t" o:connecttype="rect"/>
                    </v:shapetype>
                    <v:shape id="Text Box 2" o:spid="_x0000_s1026" type="#_x0000_t202" style="position:absolute;margin-left:234pt;margin-top:.25pt;width:54pt;height:24.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" strokeweight=".26467mm">
                      <v:textbox>
                        <w:txbxContent>
                          <w:p w14:paraId="1E13A5C6" w14:textId="3989AE2D" w:rsidR="000B09FB" w:rsidRDefault="006C031A" w:rsidP="000B09FB">
                            <w:r>
                              <w:sym w:font="Wingdings 2" w:char="F050"/>
                            </w:r>
                          </w:p>
                        </w:txbxContent>
                      </v:textbox>
                    </v:shape>
                  </w:pict>
                </mc:Fallback>
              </mc:AlternateContent>
            </w:r>
            <w:r w:rsidRPr="000B09FB">
              <w:rPr>
                <w:rFonts w:ascii="Arial" w:hAnsi="Arial" w:cs="Arial"/>
                <w:iCs/>
                <w:noProof/>
                <w:sz w:val="20"/>
                <w:szCs w:val="20"/>
                <w:lang w:val="en-GB" w:eastAsia="en-GB"/>
              </w:rPr>
              <mc:AlternateContent>
                <mc:Choice Requires="wps">
                  <w:drawing>
                    <wp:anchor distT="0" distB="0" distL="114300" distR="114300" simplePos="0" relativeHeight="251662336" behindDoc="0" locked="0" layoutInCell="1" allowOverlap="1" wp14:anchorId="62958D38" wp14:editId="1E57819A">
                      <wp:simplePos x="0" y="0"/>
                      <wp:positionH relativeFrom="column">
                        <wp:posOffset>4684398</wp:posOffset>
                      </wp:positionH>
                      <wp:positionV relativeFrom="paragraph">
                        <wp:posOffset>1901</wp:posOffset>
                      </wp:positionV>
                      <wp:extent cx="685800" cy="342900"/>
                      <wp:effectExtent l="0" t="0" r="19050" b="19050"/>
                      <wp:wrapNone/>
                      <wp:docPr id="2" name="Text Box 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w="9528">
                                <a:solidFill>
                                  <a:srgbClr val="000000"/>
                                </a:solidFill>
                                <a:prstDash val="solid"/>
                              </a:ln>
                            </wps:spPr>
                            <wps:txbx>
                              <w:txbxContent>
                                <w:p w14:paraId="7D2BD3B3" w14:textId="77777777" w:rsidR="000B09FB" w:rsidRDefault="000B09FB" w:rsidP="000B09FB"/>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958D38" id="Text Box 1" o:spid="_x0000_s1027" type="#_x0000_t202" style="position:absolute;margin-left:368.85pt;margin-top:.15pt;width:54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" strokeweight=".26467mm">
                      <v:textbox>
                        <w:txbxContent>
                          <w:p w14:paraId="7D2BD3B3" w14:textId="77777777" w:rsidR="000B09FB" w:rsidRDefault="000B09FB" w:rsidP="000B09FB"/>
                        </w:txbxContent>
                      </v:textbox>
                    </v:shape>
                  </w:pict>
                </mc:Fallback>
              </mc:AlternateContent>
            </w:r>
            <w:r w:rsidRPr="000B09FB">
              <w:rPr>
                <w:rFonts w:ascii="Arial" w:hAnsi="Arial" w:cs="Arial"/>
                <w:iCs/>
                <w:sz w:val="20"/>
                <w:szCs w:val="20"/>
                <w:lang w:val="en-GB"/>
              </w:rPr>
              <w:t xml:space="preserve">Duty to co-operate                     </w:t>
            </w:r>
            <w:r w:rsidR="007E61ED">
              <w:rPr>
                <w:rFonts w:ascii="Arial" w:hAnsi="Arial" w:cs="Arial"/>
                <w:iCs/>
                <w:sz w:val="20"/>
                <w:szCs w:val="20"/>
                <w:lang w:val="en-GB"/>
              </w:rPr>
              <w:t xml:space="preserve">             </w:t>
            </w:r>
            <w:r w:rsidRPr="000B09FB">
              <w:rPr>
                <w:rFonts w:ascii="Arial" w:hAnsi="Arial" w:cs="Arial"/>
                <w:iCs/>
                <w:sz w:val="20"/>
                <w:szCs w:val="20"/>
                <w:lang w:val="en-GB"/>
              </w:rPr>
              <w:t xml:space="preserve">Yes                                      </w:t>
            </w:r>
            <w:r w:rsidR="007E61ED">
              <w:rPr>
                <w:rFonts w:ascii="Arial" w:hAnsi="Arial" w:cs="Arial"/>
                <w:iCs/>
                <w:sz w:val="20"/>
                <w:szCs w:val="20"/>
                <w:lang w:val="en-GB"/>
              </w:rPr>
              <w:t xml:space="preserve">          </w:t>
            </w:r>
            <w:r w:rsidRPr="000B09FB">
              <w:rPr>
                <w:rFonts w:ascii="Arial" w:hAnsi="Arial" w:cs="Arial"/>
                <w:iCs/>
                <w:sz w:val="20"/>
                <w:szCs w:val="20"/>
                <w:lang w:val="en-GB"/>
              </w:rPr>
              <w:t xml:space="preserve">   No                       </w:t>
            </w:r>
          </w:p>
          <w:p w14:paraId="493F547F" w14:textId="77777777" w:rsidR="000B09FB" w:rsidRPr="000B09FB" w:rsidRDefault="000B09FB" w:rsidP="000B09FB">
            <w:pPr>
              <w:rPr>
                <w:rFonts w:ascii="Arial" w:hAnsi="Arial" w:cs="Arial"/>
                <w:iCs/>
                <w:sz w:val="20"/>
                <w:szCs w:val="20"/>
                <w:lang w:val="en-GB"/>
              </w:rPr>
            </w:pPr>
          </w:p>
          <w:p w14:paraId="1D996993" w14:textId="77777777" w:rsidR="000B09FB" w:rsidRPr="000B09FB" w:rsidRDefault="000B09FB" w:rsidP="000B09FB">
            <w:pPr>
              <w:rPr>
                <w:rFonts w:ascii="Arial" w:hAnsi="Arial" w:cs="Arial"/>
                <w:iCs/>
                <w:sz w:val="20"/>
                <w:szCs w:val="20"/>
                <w:lang w:val="en-GB"/>
              </w:rPr>
            </w:pPr>
            <w:r w:rsidRPr="000B09FB">
              <w:rPr>
                <w:rFonts w:ascii="Arial" w:hAnsi="Arial" w:cs="Arial"/>
                <w:iCs/>
                <w:sz w:val="20"/>
                <w:szCs w:val="20"/>
                <w:lang w:val="en-GB"/>
              </w:rPr>
              <w:t xml:space="preserve">            </w:t>
            </w:r>
          </w:p>
        </w:tc>
      </w:tr>
      <w:tr w:rsidR="000B09FB" w:rsidRPr="000B09FB" w14:paraId="25349338" w14:textId="77777777" w:rsidTr="008D4483">
        <w:trPr>
          <w:cantSplit/>
          <w:trHeight w:val="405"/>
        </w:trPr>
        <w:tc>
          <w:tcPr>
            <w:tcW w:w="8568" w:type="dxa"/>
            <w:gridSpan w:val="14"/>
            <w:shd w:val="clear" w:color="auto" w:fill="auto"/>
            <w:noWrap/>
            <w:tcMar>
              <w:top w:w="0" w:type="dxa"/>
              <w:left w:w="108" w:type="dxa"/>
              <w:bottom w:w="0" w:type="dxa"/>
              <w:right w:w="108" w:type="dxa"/>
            </w:tcMar>
          </w:tcPr>
          <w:p w14:paraId="78490AE9"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Please tick as appropriate</w:t>
            </w:r>
          </w:p>
        </w:tc>
      </w:tr>
      <w:tr w:rsidR="000B09FB" w:rsidRPr="000B09FB" w14:paraId="796F2538" w14:textId="77777777" w:rsidTr="008D4483">
        <w:trPr>
          <w:trHeight w:val="180"/>
        </w:trPr>
        <w:tc>
          <w:tcPr>
            <w:tcW w:w="8568" w:type="dxa"/>
            <w:gridSpan w:val="14"/>
            <w:shd w:val="clear" w:color="auto" w:fill="auto"/>
            <w:noWrap/>
            <w:tcMar>
              <w:top w:w="0" w:type="dxa"/>
              <w:left w:w="108" w:type="dxa"/>
              <w:bottom w:w="0" w:type="dxa"/>
              <w:right w:w="108" w:type="dxa"/>
            </w:tcMar>
            <w:vAlign w:val="bottom"/>
          </w:tcPr>
          <w:p w14:paraId="6D008782"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5. Please give details of why you consider the Local Plan is not legally compliant or is unsound or fails to comply with the duty to co-operate. Please be as precise as possible.</w:t>
            </w:r>
          </w:p>
          <w:p w14:paraId="485B80F5"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If you wish to support the legal compliance or soundness of the Local Plan or its compliance with the duty to co-operate, please also use this box to set out your comments. </w:t>
            </w:r>
          </w:p>
        </w:tc>
      </w:tr>
      <w:tr w:rsidR="000B09FB" w:rsidRPr="000B09FB" w14:paraId="51CCAAD8" w14:textId="77777777" w:rsidTr="003A6219">
        <w:trPr>
          <w:trHeight w:val="983"/>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F3DCF7" w14:textId="77777777" w:rsidR="000B09FB" w:rsidRPr="000B09FB" w:rsidRDefault="000B09FB" w:rsidP="000B09FB">
            <w:pPr>
              <w:rPr>
                <w:rFonts w:ascii="Arial" w:hAnsi="Arial" w:cs="Arial"/>
                <w:sz w:val="20"/>
                <w:szCs w:val="20"/>
                <w:lang w:val="en-GB"/>
              </w:rPr>
            </w:pPr>
          </w:p>
          <w:p w14:paraId="77551A47" w14:textId="17412D19" w:rsidR="006C031A" w:rsidRPr="006C031A" w:rsidRDefault="006C031A" w:rsidP="006C031A">
            <w:pPr>
              <w:rPr>
                <w:rFonts w:ascii="Arial" w:hAnsi="Arial" w:cs="Arial"/>
                <w:sz w:val="20"/>
                <w:szCs w:val="20"/>
                <w:lang w:val="en-GB"/>
              </w:rPr>
            </w:pPr>
            <w:r w:rsidRPr="006C031A">
              <w:rPr>
                <w:rFonts w:ascii="Arial" w:hAnsi="Arial" w:cs="Arial"/>
                <w:sz w:val="20"/>
                <w:szCs w:val="20"/>
                <w:lang w:val="en-GB"/>
              </w:rPr>
              <w:t xml:space="preserve">Hallam Land Management objects to the proposed spatial strategy in Policy DS2(S), which is based on a preferred option, as set out in the Development Strategy Topic Paper that focusses narrowly on variants of Option 2, whilst rejecting the alternatives or elements presented in Option 1 and 3-7 and its variants. </w:t>
            </w:r>
            <w:r w:rsidR="00E3569A">
              <w:rPr>
                <w:rFonts w:ascii="Arial" w:hAnsi="Arial" w:cs="Arial"/>
                <w:sz w:val="20"/>
                <w:szCs w:val="20"/>
                <w:lang w:val="en-GB"/>
              </w:rPr>
              <w:t xml:space="preserve"> Attached to these representations, is a note prepared by Hallam’s Transport Consultants: </w:t>
            </w:r>
            <w:proofErr w:type="spellStart"/>
            <w:proofErr w:type="gramStart"/>
            <w:r w:rsidR="00E3569A">
              <w:rPr>
                <w:rFonts w:ascii="Arial" w:hAnsi="Arial" w:cs="Arial"/>
                <w:sz w:val="20"/>
                <w:szCs w:val="20"/>
                <w:lang w:val="en-GB"/>
              </w:rPr>
              <w:t>Brookbanks</w:t>
            </w:r>
            <w:proofErr w:type="spellEnd"/>
            <w:r w:rsidR="00E3569A">
              <w:rPr>
                <w:rFonts w:ascii="Arial" w:hAnsi="Arial" w:cs="Arial"/>
                <w:sz w:val="20"/>
                <w:szCs w:val="20"/>
                <w:lang w:val="en-GB"/>
              </w:rPr>
              <w:t>, that</w:t>
            </w:r>
            <w:proofErr w:type="gramEnd"/>
            <w:r w:rsidR="00E3569A">
              <w:rPr>
                <w:rFonts w:ascii="Arial" w:hAnsi="Arial" w:cs="Arial"/>
                <w:sz w:val="20"/>
                <w:szCs w:val="20"/>
                <w:lang w:val="en-GB"/>
              </w:rPr>
              <w:t xml:space="preserve"> considers the transport effects and issues arising from the preferred spatial</w:t>
            </w:r>
            <w:r w:rsidR="00592A84">
              <w:rPr>
                <w:rFonts w:ascii="Arial" w:hAnsi="Arial" w:cs="Arial"/>
                <w:sz w:val="20"/>
                <w:szCs w:val="20"/>
                <w:lang w:val="en-GB"/>
              </w:rPr>
              <w:t xml:space="preserve"> strategy option</w:t>
            </w:r>
            <w:r w:rsidR="00E12943">
              <w:rPr>
                <w:rFonts w:ascii="Arial" w:hAnsi="Arial" w:cs="Arial"/>
                <w:sz w:val="20"/>
                <w:szCs w:val="20"/>
                <w:lang w:val="en-GB"/>
              </w:rPr>
              <w:t xml:space="preserve"> – as reported in the Evidence Base.</w:t>
            </w:r>
          </w:p>
          <w:p w14:paraId="16DE1E8A" w14:textId="77777777" w:rsidR="006C031A" w:rsidRPr="006C031A" w:rsidRDefault="006C031A" w:rsidP="006C031A">
            <w:pPr>
              <w:rPr>
                <w:rFonts w:ascii="Arial" w:hAnsi="Arial" w:cs="Arial"/>
                <w:sz w:val="20"/>
                <w:szCs w:val="20"/>
                <w:lang w:val="en-GB"/>
              </w:rPr>
            </w:pPr>
          </w:p>
          <w:p w14:paraId="62465AA3" w14:textId="23B219D9" w:rsidR="006C031A" w:rsidRPr="006C031A" w:rsidRDefault="006C031A" w:rsidP="006C031A">
            <w:pPr>
              <w:rPr>
                <w:rFonts w:ascii="Arial" w:hAnsi="Arial" w:cs="Arial"/>
                <w:sz w:val="20"/>
                <w:szCs w:val="20"/>
                <w:lang w:val="en-GB"/>
              </w:rPr>
            </w:pPr>
            <w:r w:rsidRPr="006C031A">
              <w:rPr>
                <w:rFonts w:ascii="Arial" w:hAnsi="Arial" w:cs="Arial"/>
                <w:sz w:val="20"/>
                <w:szCs w:val="20"/>
                <w:lang w:val="en-GB"/>
              </w:rPr>
              <w:t>Hallam considers that the spatial strategy</w:t>
            </w:r>
            <w:r w:rsidR="00D210C4">
              <w:rPr>
                <w:rFonts w:ascii="Arial" w:hAnsi="Arial" w:cs="Arial"/>
                <w:sz w:val="20"/>
                <w:szCs w:val="20"/>
                <w:lang w:val="en-GB"/>
              </w:rPr>
              <w:t>,</w:t>
            </w:r>
            <w:r w:rsidRPr="006C031A">
              <w:rPr>
                <w:rFonts w:ascii="Arial" w:hAnsi="Arial" w:cs="Arial"/>
                <w:sz w:val="20"/>
                <w:szCs w:val="20"/>
                <w:lang w:val="en-GB"/>
              </w:rPr>
              <w:t xml:space="preserve"> if it is to fully meet the tests of soundness, needs to be based on a soundly identified preferred option that is more reflective of a balanced and appropriately weighted approach in planning for sustainable development across the Borough.  In this regard, Hallam considers that the strategy must include an appropriate combination of the wider options that have been identified and assessed with due weight given to those that can create, or contribute towards, a balanced and sustainable spatial strategy. </w:t>
            </w:r>
          </w:p>
          <w:p w14:paraId="40101C7F" w14:textId="77777777" w:rsidR="006C031A" w:rsidRPr="006C031A" w:rsidRDefault="006C031A" w:rsidP="006C031A">
            <w:pPr>
              <w:rPr>
                <w:rFonts w:ascii="Arial" w:hAnsi="Arial" w:cs="Arial"/>
                <w:sz w:val="20"/>
                <w:szCs w:val="20"/>
                <w:lang w:val="en-GB"/>
              </w:rPr>
            </w:pPr>
          </w:p>
          <w:p w14:paraId="45220296" w14:textId="016561BA" w:rsidR="006C031A" w:rsidRPr="006C031A" w:rsidRDefault="006C031A" w:rsidP="006C031A">
            <w:pPr>
              <w:rPr>
                <w:rFonts w:ascii="Arial" w:hAnsi="Arial" w:cs="Arial"/>
                <w:sz w:val="20"/>
                <w:szCs w:val="20"/>
                <w:lang w:val="en-GB"/>
              </w:rPr>
            </w:pPr>
            <w:r w:rsidRPr="006C031A">
              <w:rPr>
                <w:rFonts w:ascii="Arial" w:hAnsi="Arial" w:cs="Arial"/>
                <w:sz w:val="20"/>
                <w:szCs w:val="20"/>
                <w:lang w:val="en-GB"/>
              </w:rPr>
              <w:t xml:space="preserve">The proposed spatial strategy, although positive in focus towards Bedford, notwithstanding the constraints of the A6 corridor, exclude opportunities for development at an appropriate scale to support existing communities that have the greatest potential to contribute to growth objectives in a sustainable way </w:t>
            </w:r>
            <w:r w:rsidR="00056D7A">
              <w:rPr>
                <w:rFonts w:ascii="Arial" w:hAnsi="Arial" w:cs="Arial"/>
                <w:sz w:val="20"/>
                <w:szCs w:val="20"/>
                <w:lang w:val="en-GB"/>
              </w:rPr>
              <w:t xml:space="preserve">- </w:t>
            </w:r>
            <w:r w:rsidRPr="006C031A">
              <w:rPr>
                <w:rFonts w:ascii="Arial" w:hAnsi="Arial" w:cs="Arial"/>
                <w:sz w:val="20"/>
                <w:szCs w:val="20"/>
                <w:lang w:val="en-GB"/>
              </w:rPr>
              <w:t>aligned with requirements of para</w:t>
            </w:r>
            <w:r w:rsidR="004844CB">
              <w:rPr>
                <w:rFonts w:ascii="Arial" w:hAnsi="Arial" w:cs="Arial"/>
                <w:sz w:val="20"/>
                <w:szCs w:val="20"/>
                <w:lang w:val="en-GB"/>
              </w:rPr>
              <w:t>graph</w:t>
            </w:r>
            <w:r w:rsidRPr="006C031A">
              <w:rPr>
                <w:rFonts w:ascii="Arial" w:hAnsi="Arial" w:cs="Arial"/>
                <w:sz w:val="20"/>
                <w:szCs w:val="20"/>
                <w:lang w:val="en-GB"/>
              </w:rPr>
              <w:t xml:space="preserve"> 23 of the NPPF. There are also doubts as to whether the spatial strategy would be able to provide sufficient capacity, in isolation, for growth, certainly around rail station locations</w:t>
            </w:r>
            <w:r w:rsidR="004844CB">
              <w:rPr>
                <w:rFonts w:ascii="Arial" w:hAnsi="Arial" w:cs="Arial"/>
                <w:sz w:val="20"/>
                <w:szCs w:val="20"/>
                <w:lang w:val="en-GB"/>
              </w:rPr>
              <w:t>,</w:t>
            </w:r>
            <w:r w:rsidRPr="006C031A">
              <w:rPr>
                <w:rFonts w:ascii="Arial" w:hAnsi="Arial" w:cs="Arial"/>
                <w:sz w:val="20"/>
                <w:szCs w:val="20"/>
                <w:lang w:val="en-GB"/>
              </w:rPr>
              <w:t xml:space="preserve"> provide opportunities for maximising sustainable accessibility to Bedford and along the East West Rail corridor. </w:t>
            </w:r>
          </w:p>
          <w:p w14:paraId="44CA1526" w14:textId="77777777" w:rsidR="006C031A" w:rsidRPr="006C031A" w:rsidRDefault="006C031A" w:rsidP="006C031A">
            <w:pPr>
              <w:rPr>
                <w:rFonts w:ascii="Arial" w:hAnsi="Arial" w:cs="Arial"/>
                <w:sz w:val="20"/>
                <w:szCs w:val="20"/>
                <w:lang w:val="en-GB"/>
              </w:rPr>
            </w:pPr>
          </w:p>
          <w:p w14:paraId="179A38C9" w14:textId="50EE2096" w:rsidR="006C031A" w:rsidRPr="006C031A" w:rsidRDefault="006C031A" w:rsidP="006C031A">
            <w:pPr>
              <w:rPr>
                <w:rFonts w:ascii="Arial" w:hAnsi="Arial" w:cs="Arial"/>
                <w:sz w:val="20"/>
                <w:szCs w:val="20"/>
                <w:lang w:val="en-GB"/>
              </w:rPr>
            </w:pPr>
            <w:r w:rsidRPr="006C031A">
              <w:rPr>
                <w:rFonts w:ascii="Arial" w:hAnsi="Arial" w:cs="Arial"/>
                <w:sz w:val="20"/>
                <w:szCs w:val="20"/>
                <w:lang w:val="en-GB"/>
              </w:rPr>
              <w:t xml:space="preserve">No change is observed in the evidence base or the outcome of the existing plan – that existing well connected and well served settlements represent highly sustainable options for development. Specifically, the spatial strategy should not preclude sustainable development opportunities to the north of Bedford that are able to capitalise on the investment to be made in East West Rail and improving connectivity to Bedford station – rail related potential is not </w:t>
            </w:r>
            <w:r w:rsidRPr="006C031A">
              <w:rPr>
                <w:rFonts w:ascii="Arial" w:hAnsi="Arial" w:cs="Arial"/>
                <w:sz w:val="20"/>
                <w:szCs w:val="20"/>
                <w:lang w:val="en-GB"/>
              </w:rPr>
              <w:lastRenderedPageBreak/>
              <w:t xml:space="preserve">limited to the south of the town and Bedford </w:t>
            </w:r>
            <w:r w:rsidR="00040E9E">
              <w:rPr>
                <w:rFonts w:ascii="Arial" w:hAnsi="Arial" w:cs="Arial"/>
                <w:sz w:val="20"/>
                <w:szCs w:val="20"/>
                <w:lang w:val="en-GB"/>
              </w:rPr>
              <w:t>s</w:t>
            </w:r>
            <w:r w:rsidRPr="006C031A">
              <w:rPr>
                <w:rFonts w:ascii="Arial" w:hAnsi="Arial" w:cs="Arial"/>
                <w:sz w:val="20"/>
                <w:szCs w:val="20"/>
                <w:lang w:val="en-GB"/>
              </w:rPr>
              <w:t>tation is as, or more, accessible from the north – more so with enhanced sustainable transport links, potentially including the A6 corridor as a focus for infrastructure investment (i.e. more frequent bus services and physical walking and cycle links) which would be more reflective of the objectives set out in para</w:t>
            </w:r>
            <w:r w:rsidR="004844CB">
              <w:rPr>
                <w:rFonts w:ascii="Arial" w:hAnsi="Arial" w:cs="Arial"/>
                <w:sz w:val="20"/>
                <w:szCs w:val="20"/>
                <w:lang w:val="en-GB"/>
              </w:rPr>
              <w:t>graph</w:t>
            </w:r>
            <w:r w:rsidRPr="006C031A">
              <w:rPr>
                <w:rFonts w:ascii="Arial" w:hAnsi="Arial" w:cs="Arial"/>
                <w:sz w:val="20"/>
                <w:szCs w:val="20"/>
                <w:lang w:val="en-GB"/>
              </w:rPr>
              <w:t xml:space="preserve"> 104 of the NPPF and policy in para</w:t>
            </w:r>
            <w:r w:rsidR="004844CB">
              <w:rPr>
                <w:rFonts w:ascii="Arial" w:hAnsi="Arial" w:cs="Arial"/>
                <w:sz w:val="20"/>
                <w:szCs w:val="20"/>
                <w:lang w:val="en-GB"/>
              </w:rPr>
              <w:t>graph</w:t>
            </w:r>
            <w:r w:rsidRPr="006C031A">
              <w:rPr>
                <w:rFonts w:ascii="Arial" w:hAnsi="Arial" w:cs="Arial"/>
                <w:sz w:val="20"/>
                <w:szCs w:val="20"/>
                <w:lang w:val="en-GB"/>
              </w:rPr>
              <w:t xml:space="preserve"> 105 of the NPPF. </w:t>
            </w:r>
            <w:r w:rsidR="000A733C">
              <w:rPr>
                <w:rFonts w:ascii="Arial" w:hAnsi="Arial" w:cs="Arial"/>
                <w:sz w:val="20"/>
                <w:szCs w:val="20"/>
                <w:lang w:val="en-GB"/>
              </w:rPr>
              <w:t xml:space="preserve">Moreover, </w:t>
            </w:r>
            <w:r w:rsidR="00E3569A">
              <w:rPr>
                <w:rFonts w:ascii="Arial" w:hAnsi="Arial" w:cs="Arial"/>
                <w:sz w:val="20"/>
                <w:szCs w:val="20"/>
                <w:lang w:val="en-GB"/>
              </w:rPr>
              <w:t xml:space="preserve">as summarised in the attached note prepared by </w:t>
            </w:r>
            <w:proofErr w:type="spellStart"/>
            <w:r w:rsidR="00E3569A">
              <w:rPr>
                <w:rFonts w:ascii="Arial" w:hAnsi="Arial" w:cs="Arial"/>
                <w:sz w:val="20"/>
                <w:szCs w:val="20"/>
                <w:lang w:val="en-GB"/>
              </w:rPr>
              <w:t>Brookbanks</w:t>
            </w:r>
            <w:proofErr w:type="spellEnd"/>
            <w:r w:rsidR="00E3569A">
              <w:rPr>
                <w:rFonts w:ascii="Arial" w:hAnsi="Arial" w:cs="Arial"/>
                <w:sz w:val="20"/>
                <w:szCs w:val="20"/>
                <w:lang w:val="en-GB"/>
              </w:rPr>
              <w:t xml:space="preserve">, </w:t>
            </w:r>
            <w:r w:rsidR="000A733C">
              <w:rPr>
                <w:rFonts w:ascii="Arial" w:hAnsi="Arial" w:cs="Arial"/>
                <w:sz w:val="20"/>
                <w:szCs w:val="20"/>
                <w:lang w:val="en-GB"/>
              </w:rPr>
              <w:t>the</w:t>
            </w:r>
            <w:r w:rsidR="000A733C" w:rsidRPr="000A733C">
              <w:rPr>
                <w:rFonts w:ascii="Arial" w:hAnsi="Arial" w:cs="Arial"/>
                <w:sz w:val="20"/>
                <w:szCs w:val="20"/>
                <w:lang w:val="en-GB"/>
              </w:rPr>
              <w:t xml:space="preserve"> particular focus of the Preferred Strategy on the A421 and to the south of Bedford is shown to result in the most significant transport effects in terms of junction delay and volume to capacity ratio</w:t>
            </w:r>
            <w:r w:rsidR="000A733C">
              <w:rPr>
                <w:rFonts w:ascii="Arial" w:hAnsi="Arial" w:cs="Arial"/>
                <w:sz w:val="20"/>
                <w:szCs w:val="20"/>
                <w:lang w:val="en-GB"/>
              </w:rPr>
              <w:t>s</w:t>
            </w:r>
            <w:r w:rsidR="000A733C" w:rsidRPr="000A733C">
              <w:rPr>
                <w:rFonts w:ascii="Arial" w:hAnsi="Arial" w:cs="Arial"/>
                <w:sz w:val="20"/>
                <w:szCs w:val="20"/>
                <w:lang w:val="en-GB"/>
              </w:rPr>
              <w:t>, consequent upon the strategy, to be concentrated within the A421 corridor and to and in the southern part of the town of Bedford.</w:t>
            </w:r>
            <w:r w:rsidR="000A733C">
              <w:rPr>
                <w:rFonts w:ascii="Arial" w:hAnsi="Arial" w:cs="Arial"/>
                <w:sz w:val="20"/>
                <w:szCs w:val="20"/>
                <w:lang w:val="en-GB"/>
              </w:rPr>
              <w:t xml:space="preserve">  </w:t>
            </w:r>
          </w:p>
          <w:p w14:paraId="128132AA" w14:textId="77777777" w:rsidR="006C031A" w:rsidRPr="006C031A" w:rsidRDefault="006C031A" w:rsidP="006C031A">
            <w:pPr>
              <w:rPr>
                <w:rFonts w:ascii="Arial" w:hAnsi="Arial" w:cs="Arial"/>
                <w:sz w:val="20"/>
                <w:szCs w:val="20"/>
                <w:lang w:val="en-GB"/>
              </w:rPr>
            </w:pPr>
          </w:p>
          <w:p w14:paraId="01816DB7" w14:textId="77777777" w:rsidR="006C031A" w:rsidRPr="006C031A" w:rsidRDefault="006C031A" w:rsidP="006C031A">
            <w:pPr>
              <w:rPr>
                <w:rFonts w:ascii="Arial" w:hAnsi="Arial" w:cs="Arial"/>
                <w:sz w:val="20"/>
                <w:szCs w:val="20"/>
                <w:lang w:val="en-GB"/>
              </w:rPr>
            </w:pPr>
            <w:r w:rsidRPr="006C031A">
              <w:rPr>
                <w:rFonts w:ascii="Arial" w:hAnsi="Arial" w:cs="Arial"/>
                <w:sz w:val="20"/>
                <w:szCs w:val="20"/>
                <w:lang w:val="en-GB"/>
              </w:rPr>
              <w:t xml:space="preserve">Hallam, therefore, considers that the spatial strategy should not rule out opportunities for continued development at Key Service Centres, particularly to the north of Bedford which is otherwise avoided.   It should actively encourage sustainable development at Clapham – the settlement most closely associated with Bedford and the investment in the Bedford Transport hub. </w:t>
            </w:r>
          </w:p>
          <w:p w14:paraId="5D5AC3AB" w14:textId="77777777" w:rsidR="006C031A" w:rsidRPr="006C031A" w:rsidRDefault="006C031A" w:rsidP="006C031A">
            <w:pPr>
              <w:rPr>
                <w:rFonts w:ascii="Arial" w:hAnsi="Arial" w:cs="Arial"/>
                <w:sz w:val="20"/>
                <w:szCs w:val="20"/>
                <w:lang w:val="en-GB"/>
              </w:rPr>
            </w:pPr>
          </w:p>
          <w:p w14:paraId="7E116E2E" w14:textId="3E1ACE6D" w:rsidR="006C031A" w:rsidRPr="006C031A" w:rsidRDefault="006C031A" w:rsidP="006C031A">
            <w:pPr>
              <w:rPr>
                <w:rFonts w:ascii="Arial" w:hAnsi="Arial" w:cs="Arial"/>
                <w:sz w:val="20"/>
                <w:szCs w:val="20"/>
                <w:lang w:val="en-GB"/>
              </w:rPr>
            </w:pPr>
            <w:r w:rsidRPr="006C031A">
              <w:rPr>
                <w:rFonts w:ascii="Arial" w:hAnsi="Arial" w:cs="Arial"/>
                <w:sz w:val="20"/>
                <w:szCs w:val="20"/>
                <w:lang w:val="en-GB"/>
              </w:rPr>
              <w:t>Other than the levels of growth committed to in the plan that are carried forward from the Local Plan 2030, the growth of Key Settlements is likely to rely on windfall development without any additional allocations that would allow meaningful growth at an appropriate scale to support these settlements over the remaining 10-year period – the assumption being that growth will be directed ONLY to the south of Bedford and the Little Barford new settlement.  In Hallam’s view, the approach suggested does not fully accord with para</w:t>
            </w:r>
            <w:r w:rsidR="004844CB">
              <w:rPr>
                <w:rFonts w:ascii="Arial" w:hAnsi="Arial" w:cs="Arial"/>
                <w:sz w:val="20"/>
                <w:szCs w:val="20"/>
                <w:lang w:val="en-GB"/>
              </w:rPr>
              <w:t>graphs</w:t>
            </w:r>
            <w:r w:rsidRPr="006C031A">
              <w:rPr>
                <w:rFonts w:ascii="Arial" w:hAnsi="Arial" w:cs="Arial"/>
                <w:sz w:val="20"/>
                <w:szCs w:val="20"/>
                <w:lang w:val="en-GB"/>
              </w:rPr>
              <w:t xml:space="preserve"> 60 &amp; 68 of the NPPF, certainly in terms of the amount, type and location of sites that are to be brought forward both before and after 2030.  </w:t>
            </w:r>
          </w:p>
          <w:p w14:paraId="7DBCD810" w14:textId="77777777" w:rsidR="006C031A" w:rsidRPr="006C031A" w:rsidRDefault="006C031A" w:rsidP="006C031A">
            <w:pPr>
              <w:rPr>
                <w:rFonts w:ascii="Arial" w:hAnsi="Arial" w:cs="Arial"/>
                <w:sz w:val="20"/>
                <w:szCs w:val="20"/>
                <w:lang w:val="en-GB"/>
              </w:rPr>
            </w:pPr>
          </w:p>
          <w:p w14:paraId="76B617EB" w14:textId="746D407A" w:rsidR="000A733C" w:rsidRPr="006C031A" w:rsidRDefault="006C031A" w:rsidP="000A733C">
            <w:pPr>
              <w:rPr>
                <w:rFonts w:ascii="Arial" w:hAnsi="Arial" w:cs="Arial"/>
                <w:sz w:val="20"/>
                <w:szCs w:val="20"/>
                <w:lang w:val="en-GB"/>
              </w:rPr>
            </w:pPr>
            <w:r w:rsidRPr="006C031A">
              <w:rPr>
                <w:rFonts w:ascii="Arial" w:hAnsi="Arial" w:cs="Arial"/>
                <w:sz w:val="20"/>
                <w:szCs w:val="20"/>
                <w:lang w:val="en-GB"/>
              </w:rPr>
              <w:t xml:space="preserve">Such an approach will fail to realise sustainable investment in those existing communities and their infrastructure. Indeed, the opportunities that do exist to invest in sustainable transport, both for new and existing communities to the north of Bedford, should be identified and supported through the transport and growth strategies of the plan.  </w:t>
            </w:r>
            <w:r w:rsidR="00E3569A">
              <w:rPr>
                <w:rFonts w:ascii="Arial" w:hAnsi="Arial" w:cs="Arial"/>
                <w:sz w:val="20"/>
                <w:szCs w:val="20"/>
                <w:lang w:val="en-GB"/>
              </w:rPr>
              <w:t xml:space="preserve">As identified in the attached note prepared by </w:t>
            </w:r>
            <w:proofErr w:type="spellStart"/>
            <w:r w:rsidR="00E3569A">
              <w:rPr>
                <w:rFonts w:ascii="Arial" w:hAnsi="Arial" w:cs="Arial"/>
                <w:sz w:val="20"/>
                <w:szCs w:val="20"/>
                <w:lang w:val="en-GB"/>
              </w:rPr>
              <w:t>Brookbanks</w:t>
            </w:r>
            <w:proofErr w:type="spellEnd"/>
            <w:r w:rsidR="00E3569A">
              <w:rPr>
                <w:rFonts w:ascii="Arial" w:hAnsi="Arial" w:cs="Arial"/>
                <w:sz w:val="20"/>
                <w:szCs w:val="20"/>
                <w:lang w:val="en-GB"/>
              </w:rPr>
              <w:t>, o</w:t>
            </w:r>
            <w:r w:rsidR="006519F1" w:rsidRPr="000A733C">
              <w:rPr>
                <w:rFonts w:ascii="Arial" w:hAnsi="Arial" w:cs="Arial"/>
                <w:sz w:val="20"/>
                <w:szCs w:val="20"/>
                <w:lang w:val="en-GB"/>
              </w:rPr>
              <w:t xml:space="preserve">ptions to include some development to the north of Bedford were largely rejected on the basis of the potential impacts arising from new settlement scale growth at </w:t>
            </w:r>
            <w:proofErr w:type="spellStart"/>
            <w:r w:rsidR="006519F1" w:rsidRPr="000A733C">
              <w:rPr>
                <w:rFonts w:ascii="Arial" w:hAnsi="Arial" w:cs="Arial"/>
                <w:sz w:val="20"/>
                <w:szCs w:val="20"/>
                <w:lang w:val="en-GB"/>
              </w:rPr>
              <w:t>Twinwoods</w:t>
            </w:r>
            <w:proofErr w:type="spellEnd"/>
            <w:r w:rsidR="006519F1" w:rsidRPr="000A733C">
              <w:rPr>
                <w:rFonts w:ascii="Arial" w:hAnsi="Arial" w:cs="Arial"/>
                <w:sz w:val="20"/>
                <w:szCs w:val="20"/>
                <w:lang w:val="en-GB"/>
              </w:rPr>
              <w:t xml:space="preserve"> or </w:t>
            </w:r>
            <w:proofErr w:type="spellStart"/>
            <w:r w:rsidR="006519F1" w:rsidRPr="000A733C">
              <w:rPr>
                <w:rFonts w:ascii="Arial" w:hAnsi="Arial" w:cs="Arial"/>
                <w:sz w:val="20"/>
                <w:szCs w:val="20"/>
                <w:lang w:val="en-GB"/>
              </w:rPr>
              <w:t>Colworth</w:t>
            </w:r>
            <w:proofErr w:type="spellEnd"/>
            <w:r w:rsidR="006519F1" w:rsidRPr="000A733C">
              <w:rPr>
                <w:rFonts w:ascii="Arial" w:hAnsi="Arial" w:cs="Arial"/>
                <w:sz w:val="20"/>
                <w:szCs w:val="20"/>
                <w:lang w:val="en-GB"/>
              </w:rPr>
              <w:t xml:space="preserve">. No assessment was made of the potential of more limited opportunities for growth </w:t>
            </w:r>
            <w:proofErr w:type="spellStart"/>
            <w:r w:rsidR="006519F1" w:rsidRPr="000A733C">
              <w:rPr>
                <w:rFonts w:ascii="Arial" w:hAnsi="Arial" w:cs="Arial"/>
                <w:sz w:val="20"/>
                <w:szCs w:val="20"/>
                <w:lang w:val="en-GB"/>
              </w:rPr>
              <w:t>focuussed</w:t>
            </w:r>
            <w:proofErr w:type="spellEnd"/>
            <w:r w:rsidR="006519F1" w:rsidRPr="000A733C">
              <w:rPr>
                <w:rFonts w:ascii="Arial" w:hAnsi="Arial" w:cs="Arial"/>
                <w:sz w:val="20"/>
                <w:szCs w:val="20"/>
                <w:lang w:val="en-GB"/>
              </w:rPr>
              <w:t xml:space="preserve"> on </w:t>
            </w:r>
            <w:proofErr w:type="spellStart"/>
            <w:r w:rsidR="006519F1" w:rsidRPr="000A733C">
              <w:rPr>
                <w:rFonts w:ascii="Arial" w:hAnsi="Arial" w:cs="Arial"/>
                <w:sz w:val="20"/>
                <w:szCs w:val="20"/>
                <w:lang w:val="en-GB"/>
              </w:rPr>
              <w:t>well located</w:t>
            </w:r>
            <w:proofErr w:type="spellEnd"/>
            <w:r w:rsidR="006519F1" w:rsidRPr="000A733C">
              <w:rPr>
                <w:rFonts w:ascii="Arial" w:hAnsi="Arial" w:cs="Arial"/>
                <w:sz w:val="20"/>
                <w:szCs w:val="20"/>
                <w:lang w:val="en-GB"/>
              </w:rPr>
              <w:t xml:space="preserve"> locations closely linked through sustainable modes to Bedford – most notably at Clapham.</w:t>
            </w:r>
            <w:r w:rsidR="003D0611">
              <w:rPr>
                <w:rFonts w:ascii="Arial" w:hAnsi="Arial" w:cs="Arial"/>
                <w:sz w:val="20"/>
                <w:szCs w:val="20"/>
                <w:lang w:val="en-GB"/>
              </w:rPr>
              <w:t xml:space="preserve"> </w:t>
            </w:r>
            <w:r w:rsidRPr="006C031A">
              <w:rPr>
                <w:rFonts w:ascii="Arial" w:hAnsi="Arial" w:cs="Arial"/>
                <w:sz w:val="20"/>
                <w:szCs w:val="20"/>
                <w:lang w:val="en-GB"/>
              </w:rPr>
              <w:t xml:space="preserve">The fact that the Council considers mitigation opportunities in the A6 corridor to be insufficient to support major scale development at </w:t>
            </w:r>
            <w:proofErr w:type="spellStart"/>
            <w:r w:rsidRPr="006C031A">
              <w:rPr>
                <w:rFonts w:ascii="Arial" w:hAnsi="Arial" w:cs="Arial"/>
                <w:sz w:val="20"/>
                <w:szCs w:val="20"/>
                <w:lang w:val="en-GB"/>
              </w:rPr>
              <w:t>Twinwoods</w:t>
            </w:r>
            <w:proofErr w:type="spellEnd"/>
            <w:r w:rsidRPr="006C031A">
              <w:rPr>
                <w:rFonts w:ascii="Arial" w:hAnsi="Arial" w:cs="Arial"/>
                <w:sz w:val="20"/>
                <w:szCs w:val="20"/>
                <w:lang w:val="en-GB"/>
              </w:rPr>
              <w:t xml:space="preserve"> or Sharnbrook, does not mean that there are not opportunities to be realised through lesser scale sites (than </w:t>
            </w:r>
            <w:proofErr w:type="spellStart"/>
            <w:r w:rsidRPr="006C031A">
              <w:rPr>
                <w:rFonts w:ascii="Arial" w:hAnsi="Arial" w:cs="Arial"/>
                <w:sz w:val="20"/>
                <w:szCs w:val="20"/>
                <w:lang w:val="en-GB"/>
              </w:rPr>
              <w:t>Twinwoods</w:t>
            </w:r>
            <w:proofErr w:type="spellEnd"/>
            <w:r w:rsidRPr="006C031A">
              <w:rPr>
                <w:rFonts w:ascii="Arial" w:hAnsi="Arial" w:cs="Arial"/>
                <w:sz w:val="20"/>
                <w:szCs w:val="20"/>
                <w:lang w:val="en-GB"/>
              </w:rPr>
              <w:t xml:space="preserve"> or Sharnbrook) in sustainable existing communities – served directly by high quality sustainable transport infrastructure – locations that are implicitly sought by para</w:t>
            </w:r>
            <w:r w:rsidR="004844CB">
              <w:rPr>
                <w:rFonts w:ascii="Arial" w:hAnsi="Arial" w:cs="Arial"/>
                <w:sz w:val="20"/>
                <w:szCs w:val="20"/>
                <w:lang w:val="en-GB"/>
              </w:rPr>
              <w:t>graph</w:t>
            </w:r>
            <w:r w:rsidRPr="006C031A">
              <w:rPr>
                <w:rFonts w:ascii="Arial" w:hAnsi="Arial" w:cs="Arial"/>
                <w:sz w:val="20"/>
                <w:szCs w:val="20"/>
                <w:lang w:val="en-GB"/>
              </w:rPr>
              <w:t xml:space="preserve"> 105 of the NPPF.  </w:t>
            </w:r>
          </w:p>
          <w:p w14:paraId="2567449E" w14:textId="77777777" w:rsidR="000A733C" w:rsidRDefault="000A733C" w:rsidP="006C031A">
            <w:pPr>
              <w:rPr>
                <w:rFonts w:ascii="Arial" w:hAnsi="Arial" w:cs="Arial"/>
                <w:sz w:val="20"/>
                <w:szCs w:val="20"/>
                <w:lang w:val="en-GB"/>
              </w:rPr>
            </w:pPr>
          </w:p>
          <w:p w14:paraId="50B9D9AB" w14:textId="5026AA1B" w:rsidR="006C031A" w:rsidRPr="006C031A" w:rsidRDefault="006C031A" w:rsidP="006C031A">
            <w:pPr>
              <w:rPr>
                <w:rFonts w:ascii="Arial" w:hAnsi="Arial" w:cs="Arial"/>
                <w:sz w:val="20"/>
                <w:szCs w:val="20"/>
                <w:lang w:val="en-GB"/>
              </w:rPr>
            </w:pPr>
            <w:r w:rsidRPr="006C031A">
              <w:rPr>
                <w:rFonts w:ascii="Arial" w:hAnsi="Arial" w:cs="Arial"/>
                <w:sz w:val="20"/>
                <w:szCs w:val="20"/>
                <w:lang w:val="en-GB"/>
              </w:rPr>
              <w:t xml:space="preserve">In this context, Hallam considers that the spatial strategy should combine elements of the wider discounted options (1 &amp; 3-7) to best achieve the scale of growth that is likely to be required.  Such an approach would better align with the NPPF and allow the site to better meet </w:t>
            </w:r>
            <w:r w:rsidR="004844CB">
              <w:rPr>
                <w:rFonts w:ascii="Arial" w:hAnsi="Arial" w:cs="Arial"/>
                <w:sz w:val="20"/>
                <w:szCs w:val="20"/>
                <w:lang w:val="en-GB"/>
              </w:rPr>
              <w:t xml:space="preserve">the </w:t>
            </w:r>
            <w:r w:rsidRPr="006C031A">
              <w:rPr>
                <w:rFonts w:ascii="Arial" w:hAnsi="Arial" w:cs="Arial"/>
                <w:sz w:val="20"/>
                <w:szCs w:val="20"/>
                <w:lang w:val="en-GB"/>
              </w:rPr>
              <w:t>soundness test</w:t>
            </w:r>
            <w:r w:rsidR="004844CB">
              <w:rPr>
                <w:rFonts w:ascii="Arial" w:hAnsi="Arial" w:cs="Arial"/>
                <w:sz w:val="20"/>
                <w:szCs w:val="20"/>
                <w:lang w:val="en-GB"/>
              </w:rPr>
              <w:t>s</w:t>
            </w:r>
            <w:r w:rsidRPr="006C031A">
              <w:rPr>
                <w:rFonts w:ascii="Arial" w:hAnsi="Arial" w:cs="Arial"/>
                <w:sz w:val="20"/>
                <w:szCs w:val="20"/>
                <w:lang w:val="en-GB"/>
              </w:rPr>
              <w:t xml:space="preserve"> of being consistent with national policy and in turn </w:t>
            </w:r>
            <w:r w:rsidR="004844CB">
              <w:rPr>
                <w:rFonts w:ascii="Arial" w:hAnsi="Arial" w:cs="Arial"/>
                <w:sz w:val="20"/>
                <w:szCs w:val="20"/>
                <w:lang w:val="en-GB"/>
              </w:rPr>
              <w:t xml:space="preserve">allowing the plan to become sound in terms of being </w:t>
            </w:r>
            <w:r w:rsidRPr="006C031A">
              <w:rPr>
                <w:rFonts w:ascii="Arial" w:hAnsi="Arial" w:cs="Arial"/>
                <w:sz w:val="20"/>
                <w:szCs w:val="20"/>
                <w:lang w:val="en-GB"/>
              </w:rPr>
              <w:t xml:space="preserve">more effective, justified and positively prepared. </w:t>
            </w:r>
          </w:p>
          <w:p w14:paraId="04E058B4" w14:textId="77777777" w:rsidR="006C031A" w:rsidRPr="006C031A" w:rsidRDefault="006C031A" w:rsidP="006C031A">
            <w:pPr>
              <w:rPr>
                <w:rFonts w:ascii="Arial" w:hAnsi="Arial" w:cs="Arial"/>
                <w:sz w:val="20"/>
                <w:szCs w:val="20"/>
                <w:lang w:val="en-GB"/>
              </w:rPr>
            </w:pPr>
          </w:p>
          <w:p w14:paraId="2DB7B43A" w14:textId="53DF7AB5" w:rsidR="006C031A" w:rsidRDefault="006C031A" w:rsidP="006C031A">
            <w:pPr>
              <w:rPr>
                <w:rFonts w:ascii="Arial" w:hAnsi="Arial" w:cs="Arial"/>
                <w:sz w:val="20"/>
                <w:szCs w:val="20"/>
                <w:lang w:val="en-GB"/>
              </w:rPr>
            </w:pPr>
            <w:r w:rsidRPr="006C031A">
              <w:rPr>
                <w:rFonts w:ascii="Arial" w:hAnsi="Arial" w:cs="Arial"/>
                <w:sz w:val="20"/>
                <w:szCs w:val="20"/>
                <w:lang w:val="en-GB"/>
              </w:rPr>
              <w:t>Hallam considers that elements of discounted options have a part to play if the housing numbers are to be met in capacity terms, more so in the current submission draft given the increase in the annual housing requirement, and in securing an appropriate geography of opportunities and in helping meet the deliverability gap that is implied by</w:t>
            </w:r>
            <w:r w:rsidR="004844CB">
              <w:rPr>
                <w:rFonts w:ascii="Arial" w:hAnsi="Arial" w:cs="Arial"/>
                <w:sz w:val="20"/>
                <w:szCs w:val="20"/>
                <w:lang w:val="en-GB"/>
              </w:rPr>
              <w:t xml:space="preserve"> the</w:t>
            </w:r>
            <w:r w:rsidRPr="006C031A">
              <w:rPr>
                <w:rFonts w:ascii="Arial" w:hAnsi="Arial" w:cs="Arial"/>
                <w:sz w:val="20"/>
                <w:szCs w:val="20"/>
                <w:lang w:val="en-GB"/>
              </w:rPr>
              <w:t xml:space="preserve"> stepped housing </w:t>
            </w:r>
            <w:r w:rsidR="004844CB">
              <w:rPr>
                <w:rFonts w:ascii="Arial" w:hAnsi="Arial" w:cs="Arial"/>
                <w:sz w:val="20"/>
                <w:szCs w:val="20"/>
                <w:lang w:val="en-GB"/>
              </w:rPr>
              <w:t xml:space="preserve">trajectory </w:t>
            </w:r>
            <w:r w:rsidR="00364B52">
              <w:rPr>
                <w:rFonts w:ascii="Arial" w:hAnsi="Arial" w:cs="Arial"/>
                <w:sz w:val="20"/>
                <w:szCs w:val="20"/>
                <w:lang w:val="en-GB"/>
              </w:rPr>
              <w:t>r</w:t>
            </w:r>
            <w:r w:rsidRPr="006C031A">
              <w:rPr>
                <w:rFonts w:ascii="Arial" w:hAnsi="Arial" w:cs="Arial"/>
                <w:sz w:val="20"/>
                <w:szCs w:val="20"/>
                <w:lang w:val="en-GB"/>
              </w:rPr>
              <w:t>elying on the significantly stepped up delivery of housing growth with the allocations of large scale new communities or settlements later in the plan period.</w:t>
            </w:r>
          </w:p>
          <w:p w14:paraId="3F735915" w14:textId="77777777" w:rsidR="00364B52" w:rsidRPr="006C031A" w:rsidRDefault="00364B52" w:rsidP="006C031A">
            <w:pPr>
              <w:rPr>
                <w:rFonts w:ascii="Arial" w:hAnsi="Arial" w:cs="Arial"/>
                <w:sz w:val="20"/>
                <w:szCs w:val="20"/>
                <w:lang w:val="en-GB"/>
              </w:rPr>
            </w:pPr>
          </w:p>
          <w:p w14:paraId="7B89EFCE" w14:textId="472D409D" w:rsidR="006C031A" w:rsidRDefault="006C031A" w:rsidP="006C031A">
            <w:pPr>
              <w:rPr>
                <w:rFonts w:ascii="Arial" w:hAnsi="Arial" w:cs="Arial"/>
                <w:sz w:val="20"/>
                <w:szCs w:val="20"/>
                <w:lang w:val="en-GB"/>
              </w:rPr>
            </w:pPr>
            <w:r w:rsidRPr="006C031A">
              <w:rPr>
                <w:rFonts w:ascii="Arial" w:hAnsi="Arial" w:cs="Arial"/>
                <w:sz w:val="20"/>
                <w:szCs w:val="20"/>
                <w:lang w:val="en-GB"/>
              </w:rPr>
              <w:t>Hallam also considers that the spatial strategy must enable a robust trajectory of delivery to come forward. In practice, Hallam have suggested that this will require the identification of additional opportunities at settlements that have the potential and capacity for growth (as evidenced by SHLAA and call for site submissions that are positively assessed), certainly for the shorter to medium term which, in turn, should better balance the rate of supply across the plan period and allow for sufficient lead in times to bring strategic allocations forward in a way that is well coordinated with the delivery of strategic infrastructure.  Housing monitoring data demonstrates that rates of housing delivery are already consistently above the rate of provision proposed in the housing trajectory.</w:t>
            </w:r>
          </w:p>
          <w:p w14:paraId="2E14938A" w14:textId="77777777" w:rsidR="00364B52" w:rsidRPr="006C031A" w:rsidRDefault="00364B52" w:rsidP="006C031A">
            <w:pPr>
              <w:rPr>
                <w:rFonts w:ascii="Arial" w:hAnsi="Arial" w:cs="Arial"/>
                <w:sz w:val="20"/>
                <w:szCs w:val="20"/>
                <w:lang w:val="en-GB"/>
              </w:rPr>
            </w:pPr>
          </w:p>
          <w:p w14:paraId="75C1B0C3" w14:textId="6839C1FC" w:rsidR="006C031A" w:rsidRDefault="006C031A" w:rsidP="006C031A">
            <w:pPr>
              <w:rPr>
                <w:rFonts w:ascii="Arial" w:hAnsi="Arial" w:cs="Arial"/>
                <w:sz w:val="20"/>
                <w:szCs w:val="20"/>
                <w:lang w:val="en-GB"/>
              </w:rPr>
            </w:pPr>
            <w:r w:rsidRPr="006C031A">
              <w:rPr>
                <w:rFonts w:ascii="Arial" w:hAnsi="Arial" w:cs="Arial"/>
                <w:sz w:val="20"/>
                <w:szCs w:val="20"/>
                <w:lang w:val="en-GB"/>
              </w:rPr>
              <w:t>Of particular concern, the overreliance on a small number of policy options, and the rejection of others (e.g</w:t>
            </w:r>
            <w:r w:rsidR="007602BC">
              <w:rPr>
                <w:rFonts w:ascii="Arial" w:hAnsi="Arial" w:cs="Arial"/>
                <w:sz w:val="20"/>
                <w:szCs w:val="20"/>
                <w:lang w:val="en-GB"/>
              </w:rPr>
              <w:t>.</w:t>
            </w:r>
            <w:r w:rsidRPr="006C031A">
              <w:rPr>
                <w:rFonts w:ascii="Arial" w:hAnsi="Arial" w:cs="Arial"/>
                <w:sz w:val="20"/>
                <w:szCs w:val="20"/>
                <w:lang w:val="en-GB"/>
              </w:rPr>
              <w:t xml:space="preserve"> rural service centres) is in effect a U Turn in the policy directions proposed in the Plan.  From the adopted Plan, where Rural Service Centres (for instance) were recognised as highly sustainable locations for, and a focus of growth, the 2040 proposed submission</w:t>
            </w:r>
            <w:r w:rsidR="00364B52">
              <w:rPr>
                <w:rFonts w:ascii="Arial" w:hAnsi="Arial" w:cs="Arial"/>
                <w:sz w:val="20"/>
                <w:szCs w:val="20"/>
                <w:lang w:val="en-GB"/>
              </w:rPr>
              <w:t xml:space="preserve"> draft</w:t>
            </w:r>
            <w:r w:rsidRPr="006C031A">
              <w:rPr>
                <w:rFonts w:ascii="Arial" w:hAnsi="Arial" w:cs="Arial"/>
                <w:sz w:val="20"/>
                <w:szCs w:val="20"/>
                <w:lang w:val="en-GB"/>
              </w:rPr>
              <w:t xml:space="preserve"> appears to effectively preclude further development at such locations.  The consequence of such a profound shift in policy direction (in relation to Rural Service Centres and indeed other development options (whether positive or negative)) is to gravely increase the risk of a major discontinuity in the delivery of the new homes that are so urgently required and, also, in the delivery of infrastructure in the Plan area.  Just by way of example, existing planned expansion at Clapham in the adopted Plan will generate the need for a 1FE school yet provision is required to be made for a 2FE primary school which is the aspiration of the education Authority and which would best benefit the community.   The about turn in the policy and the absence of any continuity in the commitment to rural service centres and Clapham suggests that there is little prospect of the 2FE school being delivered. </w:t>
            </w:r>
          </w:p>
          <w:p w14:paraId="522D0E85" w14:textId="77777777" w:rsidR="00364B52" w:rsidRPr="006C031A" w:rsidRDefault="00364B52" w:rsidP="006C031A">
            <w:pPr>
              <w:rPr>
                <w:rFonts w:ascii="Arial" w:hAnsi="Arial" w:cs="Arial"/>
                <w:sz w:val="20"/>
                <w:szCs w:val="20"/>
                <w:lang w:val="en-GB"/>
              </w:rPr>
            </w:pPr>
          </w:p>
          <w:p w14:paraId="22A71DA8" w14:textId="5D39947D" w:rsidR="006C031A" w:rsidRDefault="006C031A" w:rsidP="006C031A">
            <w:pPr>
              <w:rPr>
                <w:rFonts w:ascii="Arial" w:hAnsi="Arial" w:cs="Arial"/>
                <w:sz w:val="20"/>
                <w:szCs w:val="20"/>
                <w:lang w:val="en-GB"/>
              </w:rPr>
            </w:pPr>
            <w:r w:rsidRPr="006C031A">
              <w:rPr>
                <w:rFonts w:ascii="Arial" w:hAnsi="Arial" w:cs="Arial"/>
                <w:sz w:val="20"/>
                <w:szCs w:val="20"/>
                <w:lang w:val="en-GB"/>
              </w:rPr>
              <w:t xml:space="preserve">Of those locations identified for more strategic scale development along the A421 and East West Rail corridor, account should also be taken of cumulative delivery rates in the context of the scale of delivery being planned in Bedford Borough but also in Central Beds and other adjoining </w:t>
            </w:r>
            <w:r w:rsidR="00A66128">
              <w:rPr>
                <w:rFonts w:ascii="Arial" w:hAnsi="Arial" w:cs="Arial"/>
                <w:sz w:val="20"/>
                <w:szCs w:val="20"/>
                <w:lang w:val="en-GB"/>
              </w:rPr>
              <w:t xml:space="preserve">locations </w:t>
            </w:r>
            <w:r w:rsidR="009939B4">
              <w:rPr>
                <w:rFonts w:ascii="Arial" w:hAnsi="Arial" w:cs="Arial"/>
                <w:sz w:val="20"/>
                <w:szCs w:val="20"/>
                <w:lang w:val="en-GB"/>
              </w:rPr>
              <w:t>such as those that will be served by the A421 and East West Rail</w:t>
            </w:r>
            <w:r w:rsidRPr="006C031A">
              <w:rPr>
                <w:rFonts w:ascii="Arial" w:hAnsi="Arial" w:cs="Arial"/>
                <w:sz w:val="20"/>
                <w:szCs w:val="20"/>
                <w:lang w:val="en-GB"/>
              </w:rPr>
              <w:t xml:space="preserve"> </w:t>
            </w:r>
            <w:r w:rsidR="00040E9E">
              <w:rPr>
                <w:rFonts w:ascii="Arial" w:hAnsi="Arial" w:cs="Arial"/>
                <w:sz w:val="20"/>
                <w:szCs w:val="20"/>
                <w:lang w:val="en-GB"/>
              </w:rPr>
              <w:t>corridor</w:t>
            </w:r>
            <w:r w:rsidRPr="006C031A">
              <w:rPr>
                <w:rFonts w:ascii="Arial" w:hAnsi="Arial" w:cs="Arial"/>
                <w:sz w:val="20"/>
                <w:szCs w:val="20"/>
                <w:lang w:val="en-GB"/>
              </w:rPr>
              <w:t>. Some flexibility or tolerance may be required with anticipated delivery timescales. Such uncertainties and a requirement for contingencies translates into a more balanced and critically an adaptable and flexible focus that embraces additional foci for growth and in particular looks also towards the north of Bedford.</w:t>
            </w:r>
          </w:p>
          <w:p w14:paraId="78F69C35" w14:textId="77777777" w:rsidR="00364B52" w:rsidRPr="006C031A" w:rsidRDefault="00364B52" w:rsidP="006C031A">
            <w:pPr>
              <w:rPr>
                <w:rFonts w:ascii="Arial" w:hAnsi="Arial" w:cs="Arial"/>
                <w:sz w:val="20"/>
                <w:szCs w:val="20"/>
                <w:lang w:val="en-GB"/>
              </w:rPr>
            </w:pPr>
          </w:p>
          <w:p w14:paraId="00297068" w14:textId="4B296EF2" w:rsidR="006C031A" w:rsidRPr="006C031A" w:rsidRDefault="006C031A" w:rsidP="006C031A">
            <w:pPr>
              <w:rPr>
                <w:rFonts w:ascii="Arial" w:hAnsi="Arial" w:cs="Arial"/>
                <w:sz w:val="20"/>
                <w:szCs w:val="20"/>
                <w:lang w:val="en-GB"/>
              </w:rPr>
            </w:pPr>
            <w:r w:rsidRPr="006C031A">
              <w:rPr>
                <w:rFonts w:ascii="Arial" w:hAnsi="Arial" w:cs="Arial"/>
                <w:sz w:val="20"/>
                <w:szCs w:val="20"/>
                <w:lang w:val="en-GB"/>
              </w:rPr>
              <w:t>Whilst considering that a multi-faceted strategy will be required, Hallam considers that a substantial emphasis must continue to be placed in and around the edges of Bedford and therefore, emphasises for clarity, that this must extend beyond the 0.5 miles of the urban area boundary to include the most immediate neighbouring settlements that have significant potential to benefit from enhanced sustainable connections with Bedford, its town centre and railway station.  To some extent</w:t>
            </w:r>
            <w:r w:rsidR="00A66128">
              <w:rPr>
                <w:rFonts w:ascii="Arial" w:hAnsi="Arial" w:cs="Arial"/>
                <w:sz w:val="20"/>
                <w:szCs w:val="20"/>
                <w:lang w:val="en-GB"/>
              </w:rPr>
              <w:t>,</w:t>
            </w:r>
            <w:r w:rsidRPr="006C031A">
              <w:rPr>
                <w:rFonts w:ascii="Arial" w:hAnsi="Arial" w:cs="Arial"/>
                <w:sz w:val="20"/>
                <w:szCs w:val="20"/>
                <w:lang w:val="en-GB"/>
              </w:rPr>
              <w:t xml:space="preserve"> growth beyond 0.5 miles of the urban areas is reflected in the </w:t>
            </w:r>
            <w:r w:rsidR="00364B52">
              <w:rPr>
                <w:rFonts w:ascii="Arial" w:hAnsi="Arial" w:cs="Arial"/>
                <w:sz w:val="20"/>
                <w:szCs w:val="20"/>
                <w:lang w:val="en-GB"/>
              </w:rPr>
              <w:t>s</w:t>
            </w:r>
            <w:r w:rsidRPr="006C031A">
              <w:rPr>
                <w:rFonts w:ascii="Arial" w:hAnsi="Arial" w:cs="Arial"/>
                <w:sz w:val="20"/>
                <w:szCs w:val="20"/>
                <w:lang w:val="en-GB"/>
              </w:rPr>
              <w:t xml:space="preserve">patial </w:t>
            </w:r>
            <w:r w:rsidR="00364B52">
              <w:rPr>
                <w:rFonts w:ascii="Arial" w:hAnsi="Arial" w:cs="Arial"/>
                <w:sz w:val="20"/>
                <w:szCs w:val="20"/>
                <w:lang w:val="en-GB"/>
              </w:rPr>
              <w:t>s</w:t>
            </w:r>
            <w:r w:rsidRPr="006C031A">
              <w:rPr>
                <w:rFonts w:ascii="Arial" w:hAnsi="Arial" w:cs="Arial"/>
                <w:sz w:val="20"/>
                <w:szCs w:val="20"/>
                <w:lang w:val="en-GB"/>
              </w:rPr>
              <w:t>trategy with housing allocations to the south of Bedford, and in this context, the north of Bedford also offers good potential which is not being fully recognised.  An example in this context is Clapham. Clapham is a positive example of a settlement that will support further growth around Bedford.  It lies some 3.5km from the Town Centre and Railway Station, has the potential for improved connectivity with public transport and walking and cycling infrastructure to complement improvements at the A6 Gateway (being delivered under the Transporting Bedford 2020 Project).  Delivery of the Great Ouse Way, which completes a western bypass of the A6 arguably, in relieving traffic pressures on the Shakespeare Road and Ashburnham Road sections of the A5141, provides an additional opportunity for transforming this corridor into a more pedestrian and cycle focussed route</w:t>
            </w:r>
            <w:r w:rsidR="007602BC">
              <w:rPr>
                <w:rFonts w:ascii="Arial" w:hAnsi="Arial" w:cs="Arial"/>
                <w:sz w:val="20"/>
                <w:szCs w:val="20"/>
                <w:lang w:val="en-GB"/>
              </w:rPr>
              <w:t xml:space="preserve"> – thus </w:t>
            </w:r>
            <w:r w:rsidR="00364B52">
              <w:rPr>
                <w:rFonts w:ascii="Arial" w:hAnsi="Arial" w:cs="Arial"/>
                <w:sz w:val="20"/>
                <w:szCs w:val="20"/>
                <w:lang w:val="en-GB"/>
              </w:rPr>
              <w:t xml:space="preserve">lock in the </w:t>
            </w:r>
            <w:r w:rsidR="007602BC">
              <w:rPr>
                <w:rFonts w:ascii="Arial" w:hAnsi="Arial" w:cs="Arial"/>
                <w:sz w:val="20"/>
                <w:szCs w:val="20"/>
                <w:lang w:val="en-GB"/>
              </w:rPr>
              <w:t>full benefits of the Great Ouse Way</w:t>
            </w:r>
            <w:r w:rsidRPr="006C031A">
              <w:rPr>
                <w:rFonts w:ascii="Arial" w:hAnsi="Arial" w:cs="Arial"/>
                <w:sz w:val="20"/>
                <w:szCs w:val="20"/>
                <w:lang w:val="en-GB"/>
              </w:rPr>
              <w:t>.</w:t>
            </w:r>
          </w:p>
          <w:p w14:paraId="50C9E600" w14:textId="77777777" w:rsidR="006C031A" w:rsidRPr="006C031A" w:rsidRDefault="006C031A" w:rsidP="006C031A">
            <w:pPr>
              <w:rPr>
                <w:rFonts w:ascii="Arial" w:hAnsi="Arial" w:cs="Arial"/>
                <w:sz w:val="20"/>
                <w:szCs w:val="20"/>
                <w:lang w:val="en-GB"/>
              </w:rPr>
            </w:pPr>
          </w:p>
          <w:p w14:paraId="6C896BE2" w14:textId="77777777" w:rsidR="006C031A" w:rsidRPr="006C031A" w:rsidRDefault="006C031A" w:rsidP="006C031A">
            <w:pPr>
              <w:rPr>
                <w:rFonts w:ascii="Arial" w:hAnsi="Arial" w:cs="Arial"/>
                <w:sz w:val="20"/>
                <w:szCs w:val="20"/>
                <w:lang w:val="en-GB"/>
              </w:rPr>
            </w:pPr>
            <w:r w:rsidRPr="006C031A">
              <w:rPr>
                <w:rFonts w:ascii="Arial" w:hAnsi="Arial" w:cs="Arial"/>
                <w:sz w:val="20"/>
                <w:szCs w:val="20"/>
                <w:lang w:val="en-GB"/>
              </w:rPr>
              <w:t xml:space="preserve">Furthermore, Clapham becomes even more sustainable as a location as investment takes place in Bedford Town Centre and in the Bedford Midland Station and rail services. There are substantial opportunities for synergy between new homes at Clapham and the enhancement of the social and environmental and quality of life characteristics of the community, particularly through the enhancement of public transport services and physical walking and cycling infrastructure.  </w:t>
            </w:r>
          </w:p>
          <w:p w14:paraId="6EFCBC2D" w14:textId="77777777" w:rsidR="006C031A" w:rsidRPr="006C031A" w:rsidRDefault="006C031A" w:rsidP="006C031A">
            <w:pPr>
              <w:rPr>
                <w:rFonts w:ascii="Arial" w:hAnsi="Arial" w:cs="Arial"/>
                <w:sz w:val="20"/>
                <w:szCs w:val="20"/>
                <w:lang w:val="en-GB"/>
              </w:rPr>
            </w:pPr>
          </w:p>
          <w:p w14:paraId="70CC0CF2" w14:textId="4408EF9D" w:rsidR="006C031A" w:rsidRDefault="006C031A" w:rsidP="006C031A">
            <w:pPr>
              <w:rPr>
                <w:rFonts w:ascii="Arial" w:hAnsi="Arial" w:cs="Arial"/>
                <w:sz w:val="20"/>
                <w:szCs w:val="20"/>
                <w:lang w:val="en-GB"/>
              </w:rPr>
            </w:pPr>
            <w:r w:rsidRPr="006C031A">
              <w:rPr>
                <w:rFonts w:ascii="Arial" w:hAnsi="Arial" w:cs="Arial"/>
                <w:sz w:val="20"/>
                <w:szCs w:val="20"/>
                <w:lang w:val="en-GB"/>
              </w:rPr>
              <w:t xml:space="preserve">Relative to Clapham, some identified sites for growth to the south of Bedford do not offer the same opportunities for maximising multi-modal connectivity – key barriers to active travel being, in some instances, the A6 western bypass of Bedford and Kempston and the A421 corridor.  </w:t>
            </w:r>
          </w:p>
          <w:p w14:paraId="5CDD45D2" w14:textId="2FCC7BEE" w:rsidR="00DC1064" w:rsidRDefault="00DC1064" w:rsidP="006C031A">
            <w:pPr>
              <w:rPr>
                <w:rFonts w:ascii="Arial" w:hAnsi="Arial" w:cs="Arial"/>
                <w:sz w:val="20"/>
                <w:szCs w:val="20"/>
                <w:lang w:val="en-GB"/>
              </w:rPr>
            </w:pPr>
          </w:p>
          <w:p w14:paraId="72D60B06" w14:textId="6E071FE9" w:rsidR="006C031A" w:rsidRPr="006C031A" w:rsidRDefault="006C031A" w:rsidP="006C031A">
            <w:pPr>
              <w:rPr>
                <w:rFonts w:ascii="Arial" w:hAnsi="Arial" w:cs="Arial"/>
                <w:sz w:val="20"/>
                <w:szCs w:val="20"/>
                <w:lang w:val="en-GB"/>
              </w:rPr>
            </w:pPr>
            <w:r w:rsidRPr="006C031A">
              <w:rPr>
                <w:rFonts w:ascii="Arial" w:hAnsi="Arial" w:cs="Arial"/>
                <w:sz w:val="20"/>
                <w:szCs w:val="20"/>
                <w:lang w:val="en-GB"/>
              </w:rPr>
              <w:t>For instance, and in comparative terms:</w:t>
            </w:r>
            <w:r w:rsidR="00DC1064">
              <w:rPr>
                <w:rFonts w:ascii="Arial" w:hAnsi="Arial" w:cs="Arial"/>
                <w:sz w:val="20"/>
                <w:szCs w:val="20"/>
                <w:lang w:val="en-GB"/>
              </w:rPr>
              <w:br/>
            </w:r>
          </w:p>
          <w:p w14:paraId="1871E89B" w14:textId="767BA65B" w:rsidR="006C031A" w:rsidRPr="006C031A" w:rsidRDefault="006C031A" w:rsidP="00DC1064">
            <w:pPr>
              <w:numPr>
                <w:ilvl w:val="0"/>
                <w:numId w:val="24"/>
              </w:numPr>
              <w:rPr>
                <w:rFonts w:ascii="Arial" w:hAnsi="Arial" w:cs="Arial"/>
                <w:sz w:val="20"/>
                <w:szCs w:val="20"/>
                <w:lang w:val="en-GB"/>
              </w:rPr>
            </w:pPr>
            <w:r w:rsidRPr="006C031A">
              <w:rPr>
                <w:rFonts w:ascii="Arial" w:hAnsi="Arial" w:cs="Arial"/>
                <w:sz w:val="20"/>
                <w:szCs w:val="20"/>
                <w:lang w:val="en-GB"/>
              </w:rPr>
              <w:t>Land allocated at Gibraltar Corner (HOU13) is proposed in a small settlement that lies west of the A6 - services and facilities have to be accessed by crossing the A6 (albeit via a cycle and pedestrian underpass). The site being some 5km from Bedford Town Centre and the railway station is more distant than Clapham.</w:t>
            </w:r>
          </w:p>
          <w:p w14:paraId="64F54CDC" w14:textId="77777777" w:rsidR="006C031A" w:rsidRPr="006C031A" w:rsidRDefault="006C031A" w:rsidP="006C031A">
            <w:pPr>
              <w:rPr>
                <w:rFonts w:ascii="Arial" w:hAnsi="Arial" w:cs="Arial"/>
                <w:sz w:val="20"/>
                <w:szCs w:val="20"/>
                <w:lang w:val="en-GB"/>
              </w:rPr>
            </w:pPr>
          </w:p>
          <w:p w14:paraId="319289DC" w14:textId="38C180DE" w:rsidR="006C031A" w:rsidRPr="006C031A" w:rsidRDefault="006C031A" w:rsidP="00DC1064">
            <w:pPr>
              <w:numPr>
                <w:ilvl w:val="0"/>
                <w:numId w:val="24"/>
              </w:numPr>
              <w:rPr>
                <w:rFonts w:ascii="Arial" w:hAnsi="Arial" w:cs="Arial"/>
                <w:sz w:val="20"/>
                <w:szCs w:val="20"/>
                <w:lang w:val="en-GB"/>
              </w:rPr>
            </w:pPr>
            <w:r w:rsidRPr="006C031A">
              <w:rPr>
                <w:rFonts w:ascii="Arial" w:hAnsi="Arial" w:cs="Arial"/>
                <w:sz w:val="20"/>
                <w:szCs w:val="20"/>
                <w:lang w:val="en-GB"/>
              </w:rPr>
              <w:t>Land South and East of Wixams (Allocations HOU15 &amp; HOU16) forms a location for housing growth to the south of Bedford, east of existing growth at Wixams.  Delivery of this site will be reliant on infrastructure investment to provide good accessibility and the delivery of wider supporting community infrastructure.  Hence, delivery is likely to require be longer lead in times not least in relation to the required infrastructure.  Again the site is some 5km from Bedford Town Centre and railway station, and opportunities for multi-modal connections are more limited and is likely to require significant investment.  Relative to Clapham, the A421 corridor is a key barrier to improving connectivity</w:t>
            </w:r>
            <w:r w:rsidR="00DC1064">
              <w:rPr>
                <w:rFonts w:ascii="Arial" w:hAnsi="Arial" w:cs="Arial"/>
                <w:sz w:val="20"/>
                <w:szCs w:val="20"/>
                <w:lang w:val="en-GB"/>
              </w:rPr>
              <w:t xml:space="preserve"> for sustainable modes</w:t>
            </w:r>
            <w:r w:rsidRPr="006C031A">
              <w:rPr>
                <w:rFonts w:ascii="Arial" w:hAnsi="Arial" w:cs="Arial"/>
                <w:sz w:val="20"/>
                <w:szCs w:val="20"/>
                <w:lang w:val="en-GB"/>
              </w:rPr>
              <w:t>.</w:t>
            </w:r>
          </w:p>
          <w:p w14:paraId="5DBF9303" w14:textId="77777777" w:rsidR="006C031A" w:rsidRPr="006C031A" w:rsidRDefault="006C031A" w:rsidP="006C031A">
            <w:pPr>
              <w:rPr>
                <w:rFonts w:ascii="Arial" w:hAnsi="Arial" w:cs="Arial"/>
                <w:sz w:val="20"/>
                <w:szCs w:val="20"/>
                <w:lang w:val="en-GB"/>
              </w:rPr>
            </w:pPr>
          </w:p>
          <w:p w14:paraId="1977CEFB" w14:textId="30A2D942" w:rsidR="006C031A" w:rsidRPr="006C031A" w:rsidRDefault="006C031A" w:rsidP="00DC1064">
            <w:pPr>
              <w:numPr>
                <w:ilvl w:val="0"/>
                <w:numId w:val="24"/>
              </w:numPr>
              <w:rPr>
                <w:rFonts w:ascii="Arial" w:hAnsi="Arial" w:cs="Arial"/>
                <w:sz w:val="20"/>
                <w:szCs w:val="20"/>
                <w:lang w:val="en-GB"/>
              </w:rPr>
            </w:pPr>
            <w:r w:rsidRPr="006C031A">
              <w:rPr>
                <w:rFonts w:ascii="Arial" w:hAnsi="Arial" w:cs="Arial"/>
                <w:sz w:val="20"/>
                <w:szCs w:val="20"/>
                <w:lang w:val="en-GB"/>
              </w:rPr>
              <w:t xml:space="preserve">Land at Shortstown (Allocations HOU17 &amp; HOU18) forms a continued expansion of development at this new settlement which has the benefit of infrastructure investment and new local facilities.  At some 4-4.5km the distance is slightly further than Clapham.  However multi-modal connectivity, particularly for cycling is limited.  </w:t>
            </w:r>
          </w:p>
          <w:p w14:paraId="244C3473" w14:textId="77777777" w:rsidR="006C031A" w:rsidRPr="006C031A" w:rsidRDefault="006C031A" w:rsidP="006C031A">
            <w:pPr>
              <w:rPr>
                <w:rFonts w:ascii="Arial" w:hAnsi="Arial" w:cs="Arial"/>
                <w:sz w:val="20"/>
                <w:szCs w:val="20"/>
                <w:lang w:val="en-GB"/>
              </w:rPr>
            </w:pPr>
          </w:p>
          <w:p w14:paraId="1A84DB46" w14:textId="788A1C96" w:rsidR="006C031A" w:rsidRPr="006C031A" w:rsidRDefault="006C031A" w:rsidP="006C031A">
            <w:pPr>
              <w:rPr>
                <w:rFonts w:ascii="Arial" w:hAnsi="Arial" w:cs="Arial"/>
                <w:sz w:val="20"/>
                <w:szCs w:val="20"/>
                <w:lang w:val="en-GB"/>
              </w:rPr>
            </w:pPr>
            <w:r w:rsidRPr="006C031A">
              <w:rPr>
                <w:rFonts w:ascii="Arial" w:hAnsi="Arial" w:cs="Arial"/>
                <w:sz w:val="20"/>
                <w:szCs w:val="20"/>
                <w:lang w:val="en-GB"/>
              </w:rPr>
              <w:t xml:space="preserve">The comparative sites above, their relationship with Bedford, certainly in terms of their connectivity merits, underscores the potential of Clapham in being equally or indeed more advantageous as a location for growth in a location proximate to Bedford.  </w:t>
            </w:r>
            <w:r w:rsidR="008672D2" w:rsidRPr="000A733C">
              <w:rPr>
                <w:rFonts w:ascii="Arial" w:hAnsi="Arial" w:cs="Arial"/>
                <w:sz w:val="20"/>
                <w:szCs w:val="20"/>
                <w:lang w:val="en-GB"/>
              </w:rPr>
              <w:t xml:space="preserve">The effective exclusion of even limited housing growth to the north of Bedford in close proximity to it – has the effect of adding to the transport impacts to the south and in the south of the town as a result of the </w:t>
            </w:r>
            <w:r w:rsidR="003B54F8">
              <w:rPr>
                <w:rFonts w:ascii="Arial" w:hAnsi="Arial" w:cs="Arial"/>
                <w:sz w:val="20"/>
                <w:szCs w:val="20"/>
                <w:lang w:val="en-GB"/>
              </w:rPr>
              <w:t>p</w:t>
            </w:r>
            <w:r w:rsidR="008672D2" w:rsidRPr="000A733C">
              <w:rPr>
                <w:rFonts w:ascii="Arial" w:hAnsi="Arial" w:cs="Arial"/>
                <w:sz w:val="20"/>
                <w:szCs w:val="20"/>
                <w:lang w:val="en-GB"/>
              </w:rPr>
              <w:t xml:space="preserve">referred </w:t>
            </w:r>
            <w:r w:rsidR="003B54F8">
              <w:rPr>
                <w:rFonts w:ascii="Arial" w:hAnsi="Arial" w:cs="Arial"/>
                <w:sz w:val="20"/>
                <w:szCs w:val="20"/>
                <w:lang w:val="en-GB"/>
              </w:rPr>
              <w:t>spatial option</w:t>
            </w:r>
            <w:r w:rsidR="008672D2" w:rsidRPr="000A733C">
              <w:rPr>
                <w:rFonts w:ascii="Arial" w:hAnsi="Arial" w:cs="Arial"/>
                <w:sz w:val="20"/>
                <w:szCs w:val="20"/>
                <w:lang w:val="en-GB"/>
              </w:rPr>
              <w:t>.  An appropriate scale of development at Clapham already capitalises on strong and planned sustainable transport links</w:t>
            </w:r>
            <w:r w:rsidR="003B54F8">
              <w:rPr>
                <w:rFonts w:ascii="Arial" w:hAnsi="Arial" w:cs="Arial"/>
                <w:sz w:val="20"/>
                <w:szCs w:val="20"/>
                <w:lang w:val="en-GB"/>
              </w:rPr>
              <w:t xml:space="preserve"> with the potential to enhance them further</w:t>
            </w:r>
            <w:r w:rsidR="008672D2" w:rsidRPr="000A733C">
              <w:rPr>
                <w:rFonts w:ascii="Arial" w:hAnsi="Arial" w:cs="Arial"/>
                <w:sz w:val="20"/>
                <w:szCs w:val="20"/>
                <w:lang w:val="en-GB"/>
              </w:rPr>
              <w:t xml:space="preserve">.  </w:t>
            </w:r>
            <w:r w:rsidRPr="006C031A">
              <w:rPr>
                <w:rFonts w:ascii="Arial" w:hAnsi="Arial" w:cs="Arial"/>
                <w:sz w:val="20"/>
                <w:szCs w:val="20"/>
                <w:lang w:val="en-GB"/>
              </w:rPr>
              <w:t xml:space="preserve">It is in this context that the preferred strategy, in not allowing for additional growth at Clapham, a settlement that has the demonstrable capacity to expand, is fundamentally flawed for achieving sustainable growth, certainly in the context of </w:t>
            </w:r>
            <w:r w:rsidR="003C4B01">
              <w:rPr>
                <w:rFonts w:ascii="Arial" w:hAnsi="Arial" w:cs="Arial"/>
                <w:sz w:val="20"/>
                <w:szCs w:val="20"/>
                <w:lang w:val="en-GB"/>
              </w:rPr>
              <w:t>p</w:t>
            </w:r>
            <w:r w:rsidRPr="006C031A">
              <w:rPr>
                <w:rFonts w:ascii="Arial" w:hAnsi="Arial" w:cs="Arial"/>
                <w:sz w:val="20"/>
                <w:szCs w:val="20"/>
                <w:lang w:val="en-GB"/>
              </w:rPr>
              <w:t>ara</w:t>
            </w:r>
            <w:r w:rsidR="003C4B01">
              <w:rPr>
                <w:rFonts w:ascii="Arial" w:hAnsi="Arial" w:cs="Arial"/>
                <w:sz w:val="20"/>
                <w:szCs w:val="20"/>
                <w:lang w:val="en-GB"/>
              </w:rPr>
              <w:t>graph</w:t>
            </w:r>
            <w:r w:rsidRPr="006C031A">
              <w:rPr>
                <w:rFonts w:ascii="Arial" w:hAnsi="Arial" w:cs="Arial"/>
                <w:sz w:val="20"/>
                <w:szCs w:val="20"/>
                <w:lang w:val="en-GB"/>
              </w:rPr>
              <w:t>s 104 and 105 of the NPPF and also providing for a wide mix of sites, as suggested under para</w:t>
            </w:r>
            <w:r w:rsidR="003C4B01">
              <w:rPr>
                <w:rFonts w:ascii="Arial" w:hAnsi="Arial" w:cs="Arial"/>
                <w:sz w:val="20"/>
                <w:szCs w:val="20"/>
                <w:lang w:val="en-GB"/>
              </w:rPr>
              <w:t>graph</w:t>
            </w:r>
            <w:r w:rsidRPr="006C031A">
              <w:rPr>
                <w:rFonts w:ascii="Arial" w:hAnsi="Arial" w:cs="Arial"/>
                <w:sz w:val="20"/>
                <w:szCs w:val="20"/>
                <w:lang w:val="en-GB"/>
              </w:rPr>
              <w:t xml:space="preserve"> 68 of the NPPF.  That there remain substantive highly sustainable development opportunities at Clapham is evident from the </w:t>
            </w:r>
            <w:r w:rsidR="003C4B01">
              <w:rPr>
                <w:rFonts w:ascii="Arial" w:hAnsi="Arial" w:cs="Arial"/>
                <w:sz w:val="20"/>
                <w:szCs w:val="20"/>
                <w:lang w:val="en-GB"/>
              </w:rPr>
              <w:t>t</w:t>
            </w:r>
            <w:r w:rsidRPr="006C031A">
              <w:rPr>
                <w:rFonts w:ascii="Arial" w:hAnsi="Arial" w:cs="Arial"/>
                <w:sz w:val="20"/>
                <w:szCs w:val="20"/>
                <w:lang w:val="en-GB"/>
              </w:rPr>
              <w:t xml:space="preserve">echnical assessment work carried out by Aecom in support of the Clapham Neighbourhood Plan.   The Aecom evidence base concluded that there were additional, unallocated, sites at Clapham (for at least 500 dwellings) that were entirely appropriate for development performing at least as well, if not better, than sites allocated for through the previous Adopted Local Plan and made </w:t>
            </w:r>
            <w:r w:rsidR="00DC1064">
              <w:rPr>
                <w:rFonts w:ascii="Arial" w:hAnsi="Arial" w:cs="Arial"/>
                <w:sz w:val="20"/>
                <w:szCs w:val="20"/>
                <w:lang w:val="en-GB"/>
              </w:rPr>
              <w:t>N</w:t>
            </w:r>
            <w:r w:rsidRPr="006C031A">
              <w:rPr>
                <w:rFonts w:ascii="Arial" w:hAnsi="Arial" w:cs="Arial"/>
                <w:sz w:val="20"/>
                <w:szCs w:val="20"/>
                <w:lang w:val="en-GB"/>
              </w:rPr>
              <w:t>eighbourhood Plan.</w:t>
            </w:r>
          </w:p>
          <w:p w14:paraId="75DCC872" w14:textId="77777777" w:rsidR="006C031A" w:rsidRPr="006C031A" w:rsidRDefault="006C031A" w:rsidP="006C031A">
            <w:pPr>
              <w:rPr>
                <w:rFonts w:ascii="Arial" w:hAnsi="Arial" w:cs="Arial"/>
                <w:sz w:val="20"/>
                <w:szCs w:val="20"/>
                <w:lang w:val="en-GB"/>
              </w:rPr>
            </w:pPr>
          </w:p>
          <w:p w14:paraId="3202AA36" w14:textId="5FD37DE0" w:rsidR="006C031A" w:rsidRPr="006C031A" w:rsidRDefault="006C031A" w:rsidP="006C031A">
            <w:pPr>
              <w:rPr>
                <w:rFonts w:ascii="Arial" w:hAnsi="Arial" w:cs="Arial"/>
                <w:sz w:val="20"/>
                <w:szCs w:val="20"/>
                <w:lang w:val="en-GB"/>
              </w:rPr>
            </w:pPr>
            <w:r w:rsidRPr="006C031A">
              <w:rPr>
                <w:rFonts w:ascii="Arial" w:hAnsi="Arial" w:cs="Arial"/>
                <w:sz w:val="20"/>
                <w:szCs w:val="20"/>
                <w:lang w:val="en-GB"/>
              </w:rPr>
              <w:t xml:space="preserve">The potential for Clapham to accommodate future growth and being well connected to Bedford, whilst being distinct as a settlement, is evidenced by Hallam’s submissions in response to the Call for Sites. Equally highly sustainable options such as at Clapham presents the opportunity for the Borough Council to encapsulate a Greater Bedford element in the Local Plan and for this to be expressed as a key part of its spatial strategy and also the Local Plan </w:t>
            </w:r>
            <w:r w:rsidR="00DC1064">
              <w:rPr>
                <w:rFonts w:ascii="Arial" w:hAnsi="Arial" w:cs="Arial"/>
                <w:sz w:val="20"/>
                <w:szCs w:val="20"/>
                <w:lang w:val="en-GB"/>
              </w:rPr>
              <w:t>v</w:t>
            </w:r>
            <w:r w:rsidRPr="006C031A">
              <w:rPr>
                <w:rFonts w:ascii="Arial" w:hAnsi="Arial" w:cs="Arial"/>
                <w:sz w:val="20"/>
                <w:szCs w:val="20"/>
                <w:lang w:val="en-GB"/>
              </w:rPr>
              <w:t>ision and related policies such as for</w:t>
            </w:r>
            <w:r w:rsidR="00DC1064">
              <w:rPr>
                <w:rFonts w:ascii="Arial" w:hAnsi="Arial" w:cs="Arial"/>
                <w:sz w:val="20"/>
                <w:szCs w:val="20"/>
                <w:lang w:val="en-GB"/>
              </w:rPr>
              <w:t xml:space="preserve"> the timing of</w:t>
            </w:r>
            <w:r w:rsidRPr="006C031A">
              <w:rPr>
                <w:rFonts w:ascii="Arial" w:hAnsi="Arial" w:cs="Arial"/>
                <w:sz w:val="20"/>
                <w:szCs w:val="20"/>
                <w:lang w:val="en-GB"/>
              </w:rPr>
              <w:t xml:space="preserve"> housing growth and </w:t>
            </w:r>
            <w:r w:rsidR="00DC1064">
              <w:rPr>
                <w:rFonts w:ascii="Arial" w:hAnsi="Arial" w:cs="Arial"/>
                <w:sz w:val="20"/>
                <w:szCs w:val="20"/>
                <w:lang w:val="en-GB"/>
              </w:rPr>
              <w:t>its distribution</w:t>
            </w:r>
            <w:r w:rsidRPr="006C031A">
              <w:rPr>
                <w:rFonts w:ascii="Arial" w:hAnsi="Arial" w:cs="Arial"/>
                <w:sz w:val="20"/>
                <w:szCs w:val="20"/>
                <w:lang w:val="en-GB"/>
              </w:rPr>
              <w:t>. As outlined above, the level of ambition in the forthcoming plan will have to be high and should be so. The Council is not able to fall back on piecemeal solutions but needs a comprehensive approach. A Greater Bedford element to the plan, including the urban areas and immediate connected settlements would reflect that ambition and provide a positive framework for investment and early delivery.</w:t>
            </w:r>
          </w:p>
          <w:p w14:paraId="2B48A991" w14:textId="77777777" w:rsidR="006C031A" w:rsidRPr="006C031A" w:rsidRDefault="006C031A" w:rsidP="006C031A">
            <w:pPr>
              <w:rPr>
                <w:rFonts w:ascii="Arial" w:hAnsi="Arial" w:cs="Arial"/>
                <w:sz w:val="20"/>
                <w:szCs w:val="20"/>
                <w:lang w:val="en-GB"/>
              </w:rPr>
            </w:pPr>
          </w:p>
          <w:p w14:paraId="756B4997" w14:textId="77777777" w:rsidR="008672D2" w:rsidRDefault="006C031A" w:rsidP="006C031A">
            <w:pPr>
              <w:rPr>
                <w:rFonts w:ascii="Arial" w:hAnsi="Arial" w:cs="Arial"/>
                <w:sz w:val="20"/>
                <w:szCs w:val="20"/>
                <w:lang w:val="en-GB"/>
              </w:rPr>
            </w:pPr>
            <w:r w:rsidRPr="006C031A">
              <w:rPr>
                <w:rFonts w:ascii="Arial" w:hAnsi="Arial" w:cs="Arial"/>
                <w:sz w:val="20"/>
                <w:szCs w:val="20"/>
                <w:lang w:val="en-GB"/>
              </w:rPr>
              <w:t>The Development Options Topic Paper, in referring to the sustainability appraisal of the broad components of growth, considers the urban area component of the preferred options (including the rejected variants of Option 1, which would play a key role in a wider strategy) to perform best and then considers the adjoining urban area component to perform almost as well. In this context it follows, in Hallam’s view, that growth in immediate neighbouring settlements to the Bedford Urban Area such as Clapham are also capable of performing just as well as what is currently considered to be the adjoining urban areas, and the locations for growth currently proposed to the south of Bedford, with enhanced sustainable connections in the form of frequent public transport services and active travel routes. In this context a limit to identifying opportunities for growth to within 0.5 miles of the urban area boundary is considered arbitrary and not necessarily reflecting functional relationships.  In practice</w:t>
            </w:r>
            <w:r w:rsidR="00A66128">
              <w:rPr>
                <w:rFonts w:ascii="Arial" w:hAnsi="Arial" w:cs="Arial"/>
                <w:sz w:val="20"/>
                <w:szCs w:val="20"/>
                <w:lang w:val="en-GB"/>
              </w:rPr>
              <w:t>,</w:t>
            </w:r>
            <w:r w:rsidRPr="006C031A">
              <w:rPr>
                <w:rFonts w:ascii="Arial" w:hAnsi="Arial" w:cs="Arial"/>
                <w:sz w:val="20"/>
                <w:szCs w:val="20"/>
                <w:lang w:val="en-GB"/>
              </w:rPr>
              <w:t xml:space="preserve"> existing settlements such as Clapham are arguably better located than sites in the immediate adjoining area, as described above, where patterns of existing development and transport corridors including the A6 western bypass and A421 are likely to constrain opportunities for development that can fully exploit and enhance sustainable transport corridors. </w:t>
            </w:r>
          </w:p>
          <w:p w14:paraId="7517A23E" w14:textId="77777777" w:rsidR="008672D2" w:rsidRDefault="008672D2" w:rsidP="006C031A">
            <w:pPr>
              <w:rPr>
                <w:rFonts w:ascii="Arial" w:hAnsi="Arial" w:cs="Arial"/>
                <w:sz w:val="20"/>
                <w:szCs w:val="20"/>
                <w:lang w:val="en-GB"/>
              </w:rPr>
            </w:pPr>
          </w:p>
          <w:p w14:paraId="1D9DF240" w14:textId="2447129A" w:rsidR="006C031A" w:rsidRPr="006C031A" w:rsidRDefault="006C031A" w:rsidP="006C031A">
            <w:pPr>
              <w:rPr>
                <w:rFonts w:ascii="Arial" w:hAnsi="Arial" w:cs="Arial"/>
                <w:sz w:val="20"/>
                <w:szCs w:val="20"/>
                <w:lang w:val="en-GB"/>
              </w:rPr>
            </w:pPr>
            <w:r w:rsidRPr="006C031A">
              <w:rPr>
                <w:rFonts w:ascii="Arial" w:hAnsi="Arial" w:cs="Arial"/>
                <w:sz w:val="20"/>
                <w:szCs w:val="20"/>
                <w:lang w:val="en-GB"/>
              </w:rPr>
              <w:t>In Hallam’s view the definition of the adjoining area should be broadened to include the most immediate settlements that are able to be well connected though relatively modest infrastructure investment</w:t>
            </w:r>
            <w:r w:rsidR="003A6219">
              <w:rPr>
                <w:rFonts w:ascii="Arial" w:hAnsi="Arial" w:cs="Arial"/>
                <w:sz w:val="20"/>
                <w:szCs w:val="20"/>
                <w:lang w:val="en-GB"/>
              </w:rPr>
              <w:t xml:space="preserve"> </w:t>
            </w:r>
            <w:r w:rsidR="003C4B01">
              <w:rPr>
                <w:rFonts w:ascii="Arial" w:hAnsi="Arial" w:cs="Arial"/>
                <w:sz w:val="20"/>
                <w:szCs w:val="20"/>
                <w:lang w:val="en-GB"/>
              </w:rPr>
              <w:t>that</w:t>
            </w:r>
            <w:r w:rsidR="003A6219">
              <w:rPr>
                <w:rFonts w:ascii="Arial" w:hAnsi="Arial" w:cs="Arial"/>
                <w:sz w:val="20"/>
                <w:szCs w:val="20"/>
                <w:lang w:val="en-GB"/>
              </w:rPr>
              <w:t xml:space="preserve"> encourage</w:t>
            </w:r>
            <w:r w:rsidR="003C4B01">
              <w:rPr>
                <w:rFonts w:ascii="Arial" w:hAnsi="Arial" w:cs="Arial"/>
                <w:sz w:val="20"/>
                <w:szCs w:val="20"/>
                <w:lang w:val="en-GB"/>
              </w:rPr>
              <w:t>s</w:t>
            </w:r>
            <w:r w:rsidR="003A6219">
              <w:rPr>
                <w:rFonts w:ascii="Arial" w:hAnsi="Arial" w:cs="Arial"/>
                <w:sz w:val="20"/>
                <w:szCs w:val="20"/>
                <w:lang w:val="en-GB"/>
              </w:rPr>
              <w:t xml:space="preserve"> sustainable movement</w:t>
            </w:r>
            <w:r w:rsidRPr="006C031A">
              <w:rPr>
                <w:rFonts w:ascii="Arial" w:hAnsi="Arial" w:cs="Arial"/>
                <w:sz w:val="20"/>
                <w:szCs w:val="20"/>
                <w:lang w:val="en-GB"/>
              </w:rPr>
              <w:t xml:space="preserve">. In essence, this approach begins to reflect elements of Options 3b and 3c, 4, 6 and 7, insofar that the focus is extended to those smaller settlements that are immediately adjacent to Bedford and have the potential to benefit from enhanced sustainable connectivity. </w:t>
            </w:r>
          </w:p>
          <w:p w14:paraId="4F633B2B" w14:textId="77777777" w:rsidR="006C031A" w:rsidRPr="006C031A" w:rsidRDefault="006C031A" w:rsidP="006C031A">
            <w:pPr>
              <w:rPr>
                <w:rFonts w:ascii="Arial" w:hAnsi="Arial" w:cs="Arial"/>
                <w:sz w:val="20"/>
                <w:szCs w:val="20"/>
                <w:lang w:val="en-GB"/>
              </w:rPr>
            </w:pPr>
          </w:p>
          <w:p w14:paraId="2D3F84AC" w14:textId="1010FA3B" w:rsidR="006C031A" w:rsidRPr="006C031A" w:rsidRDefault="006C031A" w:rsidP="006C031A">
            <w:pPr>
              <w:rPr>
                <w:rFonts w:ascii="Arial" w:hAnsi="Arial" w:cs="Arial"/>
                <w:sz w:val="20"/>
                <w:szCs w:val="20"/>
                <w:lang w:val="en-GB"/>
              </w:rPr>
            </w:pPr>
            <w:r w:rsidRPr="006C031A">
              <w:rPr>
                <w:rFonts w:ascii="Arial" w:hAnsi="Arial" w:cs="Arial"/>
                <w:sz w:val="20"/>
                <w:szCs w:val="20"/>
                <w:lang w:val="en-GB"/>
              </w:rPr>
              <w:t>An added benefit of securing an appropriate level of growth in those smaller settlements, particularly those adjacent to Bedford, would also be to support local services. Key Service Villages such as Clapham with additional development has the potential to support and enhance the offer of local services, including community facilities and local retail. These benefits are particularly important for people who do not have access to a car. A greater reliance of access to local services and facilities have been underpinned recently by the changes to working and living patterns arising through the Covid-19 pandemic.  The benefits are also well aligned with para</w:t>
            </w:r>
            <w:r w:rsidR="003A6219">
              <w:rPr>
                <w:rFonts w:ascii="Arial" w:hAnsi="Arial" w:cs="Arial"/>
                <w:sz w:val="20"/>
                <w:szCs w:val="20"/>
                <w:lang w:val="en-GB"/>
              </w:rPr>
              <w:t>graph</w:t>
            </w:r>
            <w:r w:rsidRPr="006C031A">
              <w:rPr>
                <w:rFonts w:ascii="Arial" w:hAnsi="Arial" w:cs="Arial"/>
                <w:sz w:val="20"/>
                <w:szCs w:val="20"/>
                <w:lang w:val="en-GB"/>
              </w:rPr>
              <w:t xml:space="preserve"> 73, objective b) in the NPPF.</w:t>
            </w:r>
            <w:r w:rsidR="003A6219">
              <w:rPr>
                <w:rFonts w:ascii="Arial" w:hAnsi="Arial" w:cs="Arial"/>
                <w:sz w:val="20"/>
                <w:szCs w:val="20"/>
                <w:lang w:val="en-GB"/>
              </w:rPr>
              <w:t xml:space="preserve">  Furthermore, w</w:t>
            </w:r>
            <w:r w:rsidRPr="006C031A">
              <w:rPr>
                <w:rFonts w:ascii="Arial" w:hAnsi="Arial" w:cs="Arial"/>
                <w:sz w:val="20"/>
                <w:szCs w:val="20"/>
                <w:lang w:val="en-GB"/>
              </w:rPr>
              <w:t>ith regard also to para</w:t>
            </w:r>
            <w:r w:rsidR="00A66128">
              <w:rPr>
                <w:rFonts w:ascii="Arial" w:hAnsi="Arial" w:cs="Arial"/>
                <w:sz w:val="20"/>
                <w:szCs w:val="20"/>
                <w:lang w:val="en-GB"/>
              </w:rPr>
              <w:t>graph</w:t>
            </w:r>
            <w:r w:rsidRPr="006C031A">
              <w:rPr>
                <w:rFonts w:ascii="Arial" w:hAnsi="Arial" w:cs="Arial"/>
                <w:sz w:val="20"/>
                <w:szCs w:val="20"/>
                <w:lang w:val="en-GB"/>
              </w:rPr>
              <w:t xml:space="preserve"> 73, objective a) in </w:t>
            </w:r>
            <w:r w:rsidR="003A6219">
              <w:rPr>
                <w:rFonts w:ascii="Arial" w:hAnsi="Arial" w:cs="Arial"/>
                <w:sz w:val="20"/>
                <w:szCs w:val="20"/>
                <w:lang w:val="en-GB"/>
              </w:rPr>
              <w:t>the</w:t>
            </w:r>
            <w:r w:rsidRPr="006C031A">
              <w:rPr>
                <w:rFonts w:ascii="Arial" w:hAnsi="Arial" w:cs="Arial"/>
                <w:sz w:val="20"/>
                <w:szCs w:val="20"/>
                <w:lang w:val="en-GB"/>
              </w:rPr>
              <w:t xml:space="preserve"> NPPF, Clapham offers the potential to accommodate additional development that can support the co-ordinated improvement of existing infrastructure.  With much of the hard infrastructure in place Hallam envisages improvements involving enhancements to transport corridors into Bedford to the railway station to access East West Rail and the town centre to reinforce its vitality and vibrancy</w:t>
            </w:r>
            <w:r w:rsidR="003A6219">
              <w:rPr>
                <w:rFonts w:ascii="Arial" w:hAnsi="Arial" w:cs="Arial"/>
                <w:sz w:val="20"/>
                <w:szCs w:val="20"/>
                <w:lang w:val="en-GB"/>
              </w:rPr>
              <w:t xml:space="preserve">, fully exploiting the benefits to be maximised by the recent opening of the Great Ouse Way </w:t>
            </w:r>
            <w:r w:rsidR="00A66128">
              <w:rPr>
                <w:rFonts w:ascii="Arial" w:hAnsi="Arial" w:cs="Arial"/>
                <w:sz w:val="20"/>
                <w:szCs w:val="20"/>
                <w:lang w:val="en-GB"/>
              </w:rPr>
              <w:t xml:space="preserve">which, </w:t>
            </w:r>
            <w:r w:rsidR="003C4B01">
              <w:rPr>
                <w:rFonts w:ascii="Arial" w:hAnsi="Arial" w:cs="Arial"/>
                <w:sz w:val="20"/>
                <w:szCs w:val="20"/>
                <w:lang w:val="en-GB"/>
              </w:rPr>
              <w:t>in effect</w:t>
            </w:r>
            <w:r w:rsidR="00A66128">
              <w:rPr>
                <w:rFonts w:ascii="Arial" w:hAnsi="Arial" w:cs="Arial"/>
                <w:sz w:val="20"/>
                <w:szCs w:val="20"/>
                <w:lang w:val="en-GB"/>
              </w:rPr>
              <w:t>,</w:t>
            </w:r>
            <w:r w:rsidR="003C4B01">
              <w:rPr>
                <w:rFonts w:ascii="Arial" w:hAnsi="Arial" w:cs="Arial"/>
                <w:sz w:val="20"/>
                <w:szCs w:val="20"/>
                <w:lang w:val="en-GB"/>
              </w:rPr>
              <w:t xml:space="preserve"> </w:t>
            </w:r>
            <w:r w:rsidR="003A6219">
              <w:rPr>
                <w:rFonts w:ascii="Arial" w:hAnsi="Arial" w:cs="Arial"/>
                <w:sz w:val="20"/>
                <w:szCs w:val="20"/>
                <w:lang w:val="en-GB"/>
              </w:rPr>
              <w:t>completes a western bypass around Bedford</w:t>
            </w:r>
            <w:r w:rsidRPr="006C031A">
              <w:rPr>
                <w:rFonts w:ascii="Arial" w:hAnsi="Arial" w:cs="Arial"/>
                <w:sz w:val="20"/>
                <w:szCs w:val="20"/>
                <w:lang w:val="en-GB"/>
              </w:rPr>
              <w:t xml:space="preserve">. </w:t>
            </w:r>
          </w:p>
          <w:p w14:paraId="78D18A6E" w14:textId="77777777" w:rsidR="006C031A" w:rsidRPr="006C031A" w:rsidRDefault="006C031A" w:rsidP="006C031A">
            <w:pPr>
              <w:rPr>
                <w:rFonts w:ascii="Arial" w:hAnsi="Arial" w:cs="Arial"/>
                <w:sz w:val="20"/>
                <w:szCs w:val="20"/>
                <w:lang w:val="en-GB"/>
              </w:rPr>
            </w:pPr>
          </w:p>
          <w:p w14:paraId="19B896E6" w14:textId="3C78E29D" w:rsidR="006C031A" w:rsidRPr="006C031A" w:rsidRDefault="006C031A" w:rsidP="006C031A">
            <w:pPr>
              <w:rPr>
                <w:rFonts w:ascii="Arial" w:hAnsi="Arial" w:cs="Arial"/>
                <w:sz w:val="20"/>
                <w:szCs w:val="20"/>
                <w:lang w:val="en-GB"/>
              </w:rPr>
            </w:pPr>
            <w:r w:rsidRPr="006C031A">
              <w:rPr>
                <w:rFonts w:ascii="Arial" w:hAnsi="Arial" w:cs="Arial"/>
                <w:sz w:val="20"/>
                <w:szCs w:val="20"/>
                <w:lang w:val="en-GB"/>
              </w:rPr>
              <w:t>In the context of tackling climate change, locating new development in immediate settlements adjacent to Bedford offers the potential to create the critical mass necessary to support and enhance public transport services with increased frequencies to enable them to become modes of choice. Similarly, development can support investment in active travel infrastructure, better supporting the objectives of para</w:t>
            </w:r>
            <w:r w:rsidR="003A6219">
              <w:rPr>
                <w:rFonts w:ascii="Arial" w:hAnsi="Arial" w:cs="Arial"/>
                <w:sz w:val="20"/>
                <w:szCs w:val="20"/>
                <w:lang w:val="en-GB"/>
              </w:rPr>
              <w:t>graph</w:t>
            </w:r>
            <w:r w:rsidRPr="006C031A">
              <w:rPr>
                <w:rFonts w:ascii="Arial" w:hAnsi="Arial" w:cs="Arial"/>
                <w:sz w:val="20"/>
                <w:szCs w:val="20"/>
                <w:lang w:val="en-GB"/>
              </w:rPr>
              <w:t xml:space="preserve"> 104 of the NPPF and in turn para</w:t>
            </w:r>
            <w:r w:rsidR="003A6219">
              <w:rPr>
                <w:rFonts w:ascii="Arial" w:hAnsi="Arial" w:cs="Arial"/>
                <w:sz w:val="20"/>
                <w:szCs w:val="20"/>
                <w:lang w:val="en-GB"/>
              </w:rPr>
              <w:t>graph</w:t>
            </w:r>
            <w:r w:rsidRPr="006C031A">
              <w:rPr>
                <w:rFonts w:ascii="Arial" w:hAnsi="Arial" w:cs="Arial"/>
                <w:sz w:val="20"/>
                <w:szCs w:val="20"/>
                <w:lang w:val="en-GB"/>
              </w:rPr>
              <w:t xml:space="preserve"> 105. </w:t>
            </w:r>
          </w:p>
          <w:p w14:paraId="5981AF9F" w14:textId="77777777" w:rsidR="006C031A" w:rsidRPr="006C031A" w:rsidRDefault="006C031A" w:rsidP="006C031A">
            <w:pPr>
              <w:rPr>
                <w:rFonts w:ascii="Arial" w:hAnsi="Arial" w:cs="Arial"/>
                <w:sz w:val="20"/>
                <w:szCs w:val="20"/>
                <w:lang w:val="en-GB"/>
              </w:rPr>
            </w:pPr>
          </w:p>
          <w:p w14:paraId="5F3B5E32" w14:textId="77777777" w:rsidR="006C031A" w:rsidRPr="006C031A" w:rsidRDefault="006C031A" w:rsidP="006C031A">
            <w:pPr>
              <w:rPr>
                <w:rFonts w:ascii="Arial" w:hAnsi="Arial" w:cs="Arial"/>
                <w:sz w:val="20"/>
                <w:szCs w:val="20"/>
                <w:lang w:val="en-GB"/>
              </w:rPr>
            </w:pPr>
            <w:r w:rsidRPr="006C031A">
              <w:rPr>
                <w:rFonts w:ascii="Arial" w:hAnsi="Arial" w:cs="Arial"/>
                <w:sz w:val="20"/>
                <w:szCs w:val="20"/>
                <w:lang w:val="en-GB"/>
              </w:rPr>
              <w:t xml:space="preserve">The co-ordinated growth of settlements within a ‘cycle-shed’ of Bedford, as a key part of the overall strategy provides an opportunity for capturing value from new developments alongside access to funding for sustainable transport infrastructure to invest in </w:t>
            </w:r>
            <w:proofErr w:type="spellStart"/>
            <w:r w:rsidRPr="006C031A">
              <w:rPr>
                <w:rFonts w:ascii="Arial" w:hAnsi="Arial" w:cs="Arial"/>
                <w:sz w:val="20"/>
                <w:szCs w:val="20"/>
                <w:lang w:val="en-GB"/>
              </w:rPr>
              <w:t>cycleways</w:t>
            </w:r>
            <w:proofErr w:type="spellEnd"/>
            <w:r w:rsidRPr="006C031A">
              <w:rPr>
                <w:rFonts w:ascii="Arial" w:hAnsi="Arial" w:cs="Arial"/>
                <w:sz w:val="20"/>
                <w:szCs w:val="20"/>
                <w:lang w:val="en-GB"/>
              </w:rPr>
              <w:t xml:space="preserve"> – including corridor improvements for continuous links (e.g. wider pavements, on road facilities). Such an approach would contribute significantly towards the England’s Economic Heartland’s Transport Strategy and align with Bedford Boroughs’ own transport principles – in terms of improving public transport networks and local connectivity and accessibility through active travel.  </w:t>
            </w:r>
          </w:p>
          <w:p w14:paraId="0399928A" w14:textId="77777777" w:rsidR="006C031A" w:rsidRPr="006C031A" w:rsidRDefault="006C031A" w:rsidP="006C031A">
            <w:pPr>
              <w:rPr>
                <w:rFonts w:ascii="Arial" w:hAnsi="Arial" w:cs="Arial"/>
                <w:sz w:val="20"/>
                <w:szCs w:val="20"/>
                <w:lang w:val="en-GB"/>
              </w:rPr>
            </w:pPr>
          </w:p>
          <w:p w14:paraId="35975A9A" w14:textId="2CF90A20" w:rsidR="006C031A" w:rsidRDefault="006C031A" w:rsidP="006C031A">
            <w:pPr>
              <w:rPr>
                <w:rFonts w:ascii="Arial" w:hAnsi="Arial" w:cs="Arial"/>
                <w:sz w:val="20"/>
                <w:szCs w:val="20"/>
                <w:lang w:val="en-GB"/>
              </w:rPr>
            </w:pPr>
            <w:r w:rsidRPr="006C031A">
              <w:rPr>
                <w:rFonts w:ascii="Arial" w:hAnsi="Arial" w:cs="Arial"/>
                <w:sz w:val="20"/>
                <w:szCs w:val="20"/>
                <w:lang w:val="en-GB"/>
              </w:rPr>
              <w:t>The approach aims to complement the focus toward strategic locations/settlements to the south and west of Bedford, insofar that Clapham has similar, if not more advantageous strengths in being close to Bedford and being better connected</w:t>
            </w:r>
            <w:r w:rsidR="003E006D">
              <w:rPr>
                <w:rFonts w:ascii="Arial" w:hAnsi="Arial" w:cs="Arial"/>
                <w:sz w:val="20"/>
                <w:szCs w:val="20"/>
                <w:lang w:val="en-GB"/>
              </w:rPr>
              <w:t>, as demonstrated above.</w:t>
            </w:r>
          </w:p>
          <w:p w14:paraId="0B57F0F2" w14:textId="77777777" w:rsidR="003A6219" w:rsidRPr="006C031A" w:rsidRDefault="003A6219" w:rsidP="006C031A">
            <w:pPr>
              <w:rPr>
                <w:rFonts w:ascii="Arial" w:hAnsi="Arial" w:cs="Arial"/>
                <w:sz w:val="20"/>
                <w:szCs w:val="20"/>
                <w:lang w:val="en-GB"/>
              </w:rPr>
            </w:pPr>
          </w:p>
          <w:p w14:paraId="0440CE5F" w14:textId="2B2BD907" w:rsidR="000B09FB" w:rsidRDefault="006C031A" w:rsidP="000B09FB">
            <w:pPr>
              <w:rPr>
                <w:rFonts w:ascii="Arial" w:hAnsi="Arial" w:cs="Arial"/>
                <w:sz w:val="20"/>
                <w:szCs w:val="20"/>
                <w:lang w:val="en-GB"/>
              </w:rPr>
            </w:pPr>
            <w:r w:rsidRPr="006C031A">
              <w:rPr>
                <w:rFonts w:ascii="Arial" w:hAnsi="Arial" w:cs="Arial"/>
                <w:sz w:val="20"/>
                <w:szCs w:val="20"/>
                <w:lang w:val="en-GB"/>
              </w:rPr>
              <w:t>Furthermore, a rationale in the current adopted development strategy is apportioning growth to Key Service Villages to support the provision of new Primary Schools with a scale of growth sufficient to support the delivery of 1 form of entry accommodation, is at odds with the Borough’s Council’s position (as set out in its paper for Education Provision for the Local Plan 2030) that new primary schools should by preference be for 2-3 forms of entry. It follows in this context that allocating further development to Key Service Villages would enable for the delivery of primary schools that are of an operationally efficient and preferable size (i.e. 2-3 forms of entry).</w:t>
            </w:r>
          </w:p>
          <w:p w14:paraId="4C31B157" w14:textId="77777777" w:rsidR="003A6219" w:rsidRPr="000B09FB" w:rsidRDefault="003A6219" w:rsidP="000B09FB">
            <w:pPr>
              <w:rPr>
                <w:rFonts w:ascii="Arial" w:hAnsi="Arial" w:cs="Arial"/>
                <w:sz w:val="20"/>
                <w:szCs w:val="20"/>
                <w:lang w:val="en-GB"/>
              </w:rPr>
            </w:pPr>
          </w:p>
          <w:p w14:paraId="4539B474"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(Continue on a separate sheet /expand box if necessary)</w:t>
            </w:r>
          </w:p>
        </w:tc>
      </w:tr>
      <w:tr w:rsidR="000B09FB" w:rsidRPr="000B09FB" w14:paraId="4A42E0E7" w14:textId="77777777" w:rsidTr="008D4483">
        <w:trPr>
          <w:trHeight w:val="180"/>
        </w:trPr>
        <w:tc>
          <w:tcPr>
            <w:tcW w:w="8568" w:type="dxa"/>
            <w:gridSpan w:val="14"/>
            <w:shd w:val="clear" w:color="auto" w:fill="auto"/>
            <w:noWrap/>
            <w:tcMar>
              <w:top w:w="0" w:type="dxa"/>
              <w:left w:w="108" w:type="dxa"/>
              <w:bottom w:w="0" w:type="dxa"/>
              <w:right w:w="108" w:type="dxa"/>
            </w:tcMar>
            <w:vAlign w:val="bottom"/>
          </w:tcPr>
          <w:p w14:paraId="33C2FF1B" w14:textId="77777777" w:rsidR="000B09FB" w:rsidRDefault="000B09FB" w:rsidP="000B09FB">
            <w:pPr>
              <w:rPr>
                <w:rFonts w:ascii="Arial" w:hAnsi="Arial" w:cs="Arial"/>
                <w:sz w:val="20"/>
                <w:szCs w:val="20"/>
                <w:lang w:val="en-GB"/>
              </w:rPr>
            </w:pPr>
          </w:p>
          <w:p w14:paraId="5AC17218"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6.  Please set out the modification(s) you consider necessary to make the Local Plan legally compliant and sound, in respect of any legal compliance or soundness matters you have identified at 5 above.  (Please note that non-compliance with the duty to co-operate is incapable of modification at examination).  You will need to say why each modification will make the Local Plan legally compliant or sound.  It will be helpful if you are able to put forward your suggested revised wording of any policy or text. Please be as precise as possible.</w:t>
            </w:r>
          </w:p>
        </w:tc>
      </w:tr>
      <w:tr w:rsidR="000B09FB" w:rsidRPr="000B09FB" w14:paraId="3F6F8E77" w14:textId="77777777" w:rsidTr="008D4483">
        <w:trPr>
          <w:trHeight w:val="2078"/>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6CE49CF" w14:textId="77777777" w:rsidR="000B09FB" w:rsidRPr="006C031A" w:rsidRDefault="000B09FB" w:rsidP="000B09FB">
            <w:pPr>
              <w:rPr>
                <w:rFonts w:ascii="Arial" w:hAnsi="Arial" w:cs="Arial"/>
                <w:sz w:val="20"/>
                <w:szCs w:val="20"/>
                <w:lang w:val="en-GB"/>
              </w:rPr>
            </w:pPr>
          </w:p>
          <w:p w14:paraId="73C567A5" w14:textId="64E6A390" w:rsidR="006C031A" w:rsidRPr="006C031A" w:rsidRDefault="006C031A" w:rsidP="006C031A">
            <w:pPr>
              <w:autoSpaceDE w:val="0"/>
              <w:autoSpaceDN w:val="0"/>
              <w:adjustRightInd w:val="0"/>
              <w:rPr>
                <w:rFonts w:ascii="Arial" w:eastAsia="Verdana" w:hAnsi="Arial" w:cs="Arial"/>
                <w:color w:val="000000"/>
                <w:sz w:val="20"/>
                <w:szCs w:val="20"/>
                <w:lang w:val="en-GB"/>
              </w:rPr>
            </w:pPr>
            <w:r w:rsidRPr="006C031A">
              <w:rPr>
                <w:rFonts w:ascii="Arial" w:eastAsia="Verdana" w:hAnsi="Arial" w:cs="Arial"/>
                <w:color w:val="000000"/>
                <w:sz w:val="20"/>
                <w:szCs w:val="20"/>
                <w:lang w:val="en-GB"/>
              </w:rPr>
              <w:t xml:space="preserve">Given the key considerations that are set out above, Hallam considers that the proposed spatial strategy should </w:t>
            </w:r>
            <w:r w:rsidR="00D75ABD">
              <w:rPr>
                <w:rFonts w:ascii="Arial" w:eastAsia="Verdana" w:hAnsi="Arial" w:cs="Arial"/>
                <w:color w:val="000000"/>
                <w:sz w:val="20"/>
                <w:szCs w:val="20"/>
                <w:lang w:val="en-GB"/>
              </w:rPr>
              <w:t>include</w:t>
            </w:r>
            <w:r w:rsidRPr="006C031A">
              <w:rPr>
                <w:rFonts w:ascii="Arial" w:eastAsia="Verdana" w:hAnsi="Arial" w:cs="Arial"/>
                <w:color w:val="000000"/>
                <w:sz w:val="20"/>
                <w:szCs w:val="20"/>
                <w:lang w:val="en-GB"/>
              </w:rPr>
              <w:t xml:space="preserve">: </w:t>
            </w:r>
          </w:p>
          <w:p w14:paraId="77260E5D" w14:textId="77777777" w:rsidR="006C031A" w:rsidRPr="006C031A" w:rsidRDefault="006C031A" w:rsidP="006C031A">
            <w:pPr>
              <w:autoSpaceDE w:val="0"/>
              <w:autoSpaceDN w:val="0"/>
              <w:adjustRightInd w:val="0"/>
              <w:rPr>
                <w:rFonts w:ascii="Arial" w:eastAsia="Verdana" w:hAnsi="Arial" w:cs="Arial"/>
                <w:color w:val="000000"/>
                <w:sz w:val="20"/>
                <w:szCs w:val="20"/>
                <w:lang w:val="en-GB"/>
              </w:rPr>
            </w:pPr>
          </w:p>
          <w:p w14:paraId="0A01F582" w14:textId="6906407E" w:rsidR="006C031A" w:rsidRPr="006C031A" w:rsidRDefault="006C031A" w:rsidP="006C031A">
            <w:pPr>
              <w:autoSpaceDE w:val="0"/>
              <w:autoSpaceDN w:val="0"/>
              <w:adjustRightInd w:val="0"/>
              <w:rPr>
                <w:rFonts w:ascii="Arial" w:eastAsia="Verdana" w:hAnsi="Arial" w:cs="Arial"/>
                <w:color w:val="000000"/>
                <w:sz w:val="20"/>
                <w:szCs w:val="20"/>
                <w:lang w:val="en-GB"/>
              </w:rPr>
            </w:pPr>
            <w:r w:rsidRPr="006C031A">
              <w:rPr>
                <w:rFonts w:ascii="Arial" w:eastAsia="Verdana" w:hAnsi="Arial" w:cs="Arial"/>
                <w:color w:val="000000"/>
                <w:sz w:val="20"/>
                <w:szCs w:val="20"/>
                <w:lang w:val="en-GB"/>
              </w:rPr>
              <w:t>1. Embracing and including urban based growth and areas adjoining the Bedford urban area boundary including immediate neighbouring settlements (i.e. such as Clapham) that are or have the potential to be well connected to Bedford (therefore, partially reflecting Options 3b, 3c and Options 4 and 6) recognising also the contribution such elements can make before larger scale elements of the strategy</w:t>
            </w:r>
            <w:r w:rsidR="003E006D">
              <w:rPr>
                <w:rFonts w:ascii="Arial" w:eastAsia="Verdana" w:hAnsi="Arial" w:cs="Arial"/>
                <w:color w:val="000000"/>
                <w:sz w:val="20"/>
                <w:szCs w:val="20"/>
                <w:lang w:val="en-GB"/>
              </w:rPr>
              <w:t>.</w:t>
            </w:r>
            <w:r w:rsidRPr="006C031A">
              <w:rPr>
                <w:rFonts w:ascii="Arial" w:eastAsia="Verdana" w:hAnsi="Arial" w:cs="Arial"/>
                <w:color w:val="000000"/>
                <w:sz w:val="20"/>
                <w:szCs w:val="20"/>
                <w:lang w:val="en-GB"/>
              </w:rPr>
              <w:t xml:space="preserve"> </w:t>
            </w:r>
          </w:p>
          <w:p w14:paraId="5419E971" w14:textId="564E0FD8" w:rsidR="006C031A" w:rsidRPr="006C031A" w:rsidRDefault="006C031A" w:rsidP="006C031A">
            <w:pPr>
              <w:autoSpaceDE w:val="0"/>
              <w:autoSpaceDN w:val="0"/>
              <w:adjustRightInd w:val="0"/>
              <w:rPr>
                <w:rFonts w:ascii="Arial" w:eastAsia="Verdana" w:hAnsi="Arial" w:cs="Arial"/>
                <w:color w:val="000000"/>
                <w:sz w:val="20"/>
                <w:szCs w:val="20"/>
                <w:lang w:val="en-GB"/>
              </w:rPr>
            </w:pPr>
          </w:p>
          <w:p w14:paraId="3B56A42E" w14:textId="07479CFA" w:rsidR="006C031A" w:rsidRDefault="006C031A" w:rsidP="006C031A">
            <w:pPr>
              <w:spacing w:after="160" w:line="259" w:lineRule="auto"/>
              <w:rPr>
                <w:rFonts w:ascii="Arial" w:eastAsia="Verdana" w:hAnsi="Arial" w:cs="Arial"/>
                <w:sz w:val="20"/>
                <w:szCs w:val="20"/>
                <w:lang w:val="en-GB"/>
              </w:rPr>
            </w:pPr>
            <w:r w:rsidRPr="006C031A">
              <w:rPr>
                <w:rFonts w:ascii="Arial" w:eastAsia="Verdana" w:hAnsi="Arial" w:cs="Arial"/>
                <w:sz w:val="20"/>
                <w:szCs w:val="20"/>
                <w:lang w:val="en-GB"/>
              </w:rPr>
              <w:t>As such Hallam consider that Policy DS2(S) Spatial strategy should be reworded as follows:</w:t>
            </w:r>
          </w:p>
          <w:p w14:paraId="46FD7357" w14:textId="77777777"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b/>
                <w:bCs/>
                <w:color w:val="7F7F7F" w:themeColor="text1" w:themeTint="80"/>
                <w:sz w:val="20"/>
                <w:szCs w:val="20"/>
                <w:lang w:val="en-GB"/>
              </w:rPr>
            </w:pPr>
            <w:r w:rsidRPr="00056D7A">
              <w:rPr>
                <w:rFonts w:ascii="Arial" w:eastAsia="Verdana" w:hAnsi="Arial" w:cs="Arial"/>
                <w:b/>
                <w:bCs/>
                <w:color w:val="7F7F7F" w:themeColor="text1" w:themeTint="80"/>
                <w:sz w:val="20"/>
                <w:szCs w:val="20"/>
                <w:lang w:val="en-GB"/>
              </w:rPr>
              <w:t xml:space="preserve">Policy DS2(S) Spatial strategy </w:t>
            </w:r>
          </w:p>
          <w:p w14:paraId="043EA80D" w14:textId="1ADB8144"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lang w:val="en-GB"/>
              </w:rPr>
            </w:pPr>
            <w:r w:rsidRPr="00056D7A">
              <w:rPr>
                <w:rFonts w:ascii="Arial" w:eastAsia="Verdana" w:hAnsi="Arial" w:cs="Arial"/>
                <w:color w:val="7F7F7F" w:themeColor="text1" w:themeTint="80"/>
                <w:sz w:val="20"/>
                <w:szCs w:val="20"/>
                <w:lang w:val="en-GB"/>
              </w:rPr>
              <w:t>To deliver sustainable development and work towards making Bedford a net zero carbon emissions borough at the heart of the Oxford – Cambridge Arc, development will be focussed within the Greater Bedford urban area, at specified strategic locations adjacent to the Greater Bedford urban area and at growth locations within the A421 / East West Rail corridor. All new development will be required to contribute towards achieving the stated objectives and policies of this plan, in line with the Infrastructure Development Plan, through:</w:t>
            </w:r>
            <w:r w:rsidRPr="00056D7A">
              <w:rPr>
                <w:rFonts w:ascii="Arial" w:eastAsia="Verdana" w:hAnsi="Arial" w:cs="Arial"/>
                <w:color w:val="7F7F7F" w:themeColor="text1" w:themeTint="80"/>
                <w:sz w:val="20"/>
                <w:szCs w:val="20"/>
                <w:lang w:val="en-GB"/>
              </w:rPr>
              <w:br/>
            </w:r>
          </w:p>
          <w:p w14:paraId="72C1AD39" w14:textId="71FACE37"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b/>
                <w:bCs/>
                <w:color w:val="7F7F7F" w:themeColor="text1" w:themeTint="80"/>
                <w:sz w:val="20"/>
                <w:szCs w:val="20"/>
                <w:lang w:val="en-GB"/>
              </w:rPr>
            </w:pPr>
            <w:r w:rsidRPr="00056D7A">
              <w:rPr>
                <w:rFonts w:ascii="Arial" w:eastAsia="Verdana" w:hAnsi="Arial" w:cs="Arial"/>
                <w:b/>
                <w:bCs/>
                <w:color w:val="7F7F7F" w:themeColor="text1" w:themeTint="80"/>
                <w:sz w:val="20"/>
                <w:szCs w:val="20"/>
                <w:lang w:val="en-GB"/>
              </w:rPr>
              <w:t xml:space="preserve">Within the </w:t>
            </w:r>
            <w:r w:rsidRPr="00056D7A">
              <w:rPr>
                <w:rFonts w:ascii="Arial" w:eastAsia="Verdana" w:hAnsi="Arial" w:cs="Arial"/>
                <w:b/>
                <w:bCs/>
                <w:sz w:val="20"/>
                <w:szCs w:val="20"/>
                <w:u w:val="single"/>
                <w:lang w:val="en-GB"/>
              </w:rPr>
              <w:t>Greater Bedford</w:t>
            </w:r>
            <w:r w:rsidRPr="00056D7A">
              <w:rPr>
                <w:rFonts w:ascii="Arial" w:eastAsia="Verdana" w:hAnsi="Arial" w:cs="Arial"/>
                <w:b/>
                <w:bCs/>
                <w:sz w:val="20"/>
                <w:szCs w:val="20"/>
                <w:lang w:val="en-GB"/>
              </w:rPr>
              <w:t xml:space="preserve"> </w:t>
            </w:r>
            <w:r w:rsidRPr="00056D7A">
              <w:rPr>
                <w:rFonts w:ascii="Arial" w:eastAsia="Verdana" w:hAnsi="Arial" w:cs="Arial"/>
                <w:b/>
                <w:bCs/>
                <w:color w:val="7F7F7F" w:themeColor="text1" w:themeTint="80"/>
                <w:sz w:val="20"/>
                <w:szCs w:val="20"/>
                <w:lang w:val="en-GB"/>
              </w:rPr>
              <w:t xml:space="preserve">urban area </w:t>
            </w:r>
            <w:r w:rsidRPr="00056D7A">
              <w:rPr>
                <w:rFonts w:ascii="Arial" w:eastAsia="Verdana" w:hAnsi="Arial" w:cs="Arial"/>
                <w:b/>
                <w:bCs/>
                <w:color w:val="7F7F7F" w:themeColor="text1" w:themeTint="80"/>
                <w:sz w:val="20"/>
                <w:szCs w:val="20"/>
                <w:lang w:val="en-GB"/>
              </w:rPr>
              <w:br/>
            </w:r>
          </w:p>
          <w:p w14:paraId="0B1F4DE2" w14:textId="15C774C8"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lang w:val="en-GB"/>
              </w:rPr>
            </w:pPr>
            <w:proofErr w:type="spellStart"/>
            <w:r w:rsidRPr="00056D7A">
              <w:rPr>
                <w:rFonts w:ascii="Arial" w:eastAsia="Verdana" w:hAnsi="Arial" w:cs="Arial"/>
                <w:color w:val="7F7F7F" w:themeColor="text1" w:themeTint="80"/>
                <w:sz w:val="20"/>
                <w:szCs w:val="20"/>
                <w:lang w:val="en-GB"/>
              </w:rPr>
              <w:t>i</w:t>
            </w:r>
            <w:proofErr w:type="spellEnd"/>
            <w:r w:rsidRPr="00056D7A">
              <w:rPr>
                <w:rFonts w:ascii="Arial" w:eastAsia="Verdana" w:hAnsi="Arial" w:cs="Arial"/>
                <w:color w:val="7F7F7F" w:themeColor="text1" w:themeTint="80"/>
                <w:sz w:val="20"/>
                <w:szCs w:val="20"/>
                <w:lang w:val="en-GB"/>
              </w:rPr>
              <w:t xml:space="preserve">. Maintaining and enhancing Bedford town centre as a vibrant and resilient location and multifunctional destination. Regenerating vacant spaces and including the establishment of an expanded residential and cultural quarter at Mayes Yard and town centre living at </w:t>
            </w:r>
            <w:proofErr w:type="spellStart"/>
            <w:r w:rsidRPr="00056D7A">
              <w:rPr>
                <w:rFonts w:ascii="Arial" w:eastAsia="Verdana" w:hAnsi="Arial" w:cs="Arial"/>
                <w:color w:val="7F7F7F" w:themeColor="text1" w:themeTint="80"/>
                <w:sz w:val="20"/>
                <w:szCs w:val="20"/>
                <w:lang w:val="en-GB"/>
              </w:rPr>
              <w:t>Greyfriars</w:t>
            </w:r>
            <w:proofErr w:type="spellEnd"/>
            <w:r w:rsidRPr="00056D7A">
              <w:rPr>
                <w:rFonts w:ascii="Arial" w:eastAsia="Verdana" w:hAnsi="Arial" w:cs="Arial"/>
                <w:color w:val="7F7F7F" w:themeColor="text1" w:themeTint="80"/>
                <w:sz w:val="20"/>
                <w:szCs w:val="20"/>
                <w:lang w:val="en-GB"/>
              </w:rPr>
              <w:t xml:space="preserve">; </w:t>
            </w:r>
            <w:r w:rsidRPr="00056D7A">
              <w:rPr>
                <w:rFonts w:ascii="Arial" w:eastAsia="Verdana" w:hAnsi="Arial" w:cs="Arial"/>
                <w:color w:val="7F7F7F" w:themeColor="text1" w:themeTint="80"/>
                <w:sz w:val="20"/>
                <w:szCs w:val="20"/>
                <w:lang w:val="en-GB"/>
              </w:rPr>
              <w:br/>
            </w:r>
          </w:p>
          <w:p w14:paraId="4AFB996A" w14:textId="1FD7E99C"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lang w:val="en-GB"/>
              </w:rPr>
            </w:pPr>
            <w:r w:rsidRPr="00056D7A">
              <w:rPr>
                <w:rFonts w:ascii="Arial" w:eastAsia="Verdana" w:hAnsi="Arial" w:cs="Arial"/>
                <w:color w:val="7F7F7F" w:themeColor="text1" w:themeTint="80"/>
                <w:sz w:val="20"/>
                <w:szCs w:val="20"/>
                <w:lang w:val="en-GB"/>
              </w:rPr>
              <w:t>ii. Establishing a new station quarter and Midland Road gateway, including the redevelopment and regeneration of the area around Bedford Midland station to provide an academic and skills quarter and vibrant corridor between the town centre and rail station;</w:t>
            </w:r>
            <w:r w:rsidRPr="00056D7A">
              <w:rPr>
                <w:rFonts w:ascii="Arial" w:eastAsia="Verdana" w:hAnsi="Arial" w:cs="Arial"/>
                <w:color w:val="7F7F7F" w:themeColor="text1" w:themeTint="80"/>
                <w:sz w:val="20"/>
                <w:szCs w:val="20"/>
                <w:lang w:val="en-GB"/>
              </w:rPr>
              <w:br/>
              <w:t xml:space="preserve"> </w:t>
            </w:r>
          </w:p>
          <w:p w14:paraId="313947D5" w14:textId="3929CE0E"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lang w:val="en-GB"/>
              </w:rPr>
            </w:pPr>
            <w:r w:rsidRPr="00056D7A">
              <w:rPr>
                <w:rFonts w:ascii="Arial" w:eastAsia="Verdana" w:hAnsi="Arial" w:cs="Arial"/>
                <w:color w:val="7F7F7F" w:themeColor="text1" w:themeTint="80"/>
                <w:sz w:val="20"/>
                <w:szCs w:val="20"/>
                <w:lang w:val="en-GB"/>
              </w:rPr>
              <w:t xml:space="preserve">iii. Establishing vibrant new areas for urban living in Bedford’s urban core at sites on Ampthill Road and on sites allocated in Local Plan 2030 including land south of the river and at Ford End Road; </w:t>
            </w:r>
            <w:r w:rsidRPr="00056D7A">
              <w:rPr>
                <w:rFonts w:ascii="Arial" w:eastAsia="Verdana" w:hAnsi="Arial" w:cs="Arial"/>
                <w:color w:val="7F7F7F" w:themeColor="text1" w:themeTint="80"/>
                <w:sz w:val="20"/>
                <w:szCs w:val="20"/>
                <w:lang w:val="en-GB"/>
              </w:rPr>
              <w:br/>
            </w:r>
          </w:p>
          <w:p w14:paraId="7D85856D" w14:textId="13D2B466"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lang w:val="en-GB"/>
              </w:rPr>
            </w:pPr>
            <w:r w:rsidRPr="00056D7A">
              <w:rPr>
                <w:rFonts w:ascii="Arial" w:eastAsia="Verdana" w:hAnsi="Arial" w:cs="Arial"/>
                <w:color w:val="7F7F7F" w:themeColor="text1" w:themeTint="80"/>
                <w:sz w:val="20"/>
                <w:szCs w:val="20"/>
                <w:lang w:val="en-GB"/>
              </w:rPr>
              <w:t>iv. Making best use of brownfield and other available land within the urban area.</w:t>
            </w:r>
            <w:r w:rsidRPr="00056D7A">
              <w:rPr>
                <w:rFonts w:ascii="Arial" w:eastAsia="Verdana" w:hAnsi="Arial" w:cs="Arial"/>
                <w:color w:val="7F7F7F" w:themeColor="text1" w:themeTint="80"/>
                <w:sz w:val="20"/>
                <w:szCs w:val="20"/>
                <w:lang w:val="en-GB"/>
              </w:rPr>
              <w:br/>
            </w:r>
          </w:p>
          <w:p w14:paraId="065C98A4" w14:textId="155F6135"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u w:val="single"/>
                <w:lang w:val="en-GB"/>
              </w:rPr>
            </w:pPr>
            <w:r w:rsidRPr="00056D7A">
              <w:rPr>
                <w:rFonts w:ascii="Arial" w:eastAsia="Verdana" w:hAnsi="Arial" w:cs="Arial"/>
                <w:sz w:val="20"/>
                <w:szCs w:val="20"/>
                <w:u w:val="single"/>
                <w:lang w:val="en-GB"/>
              </w:rPr>
              <w:t>vi. Residential development focussed at sites in immediate neighbouring Key Service villages that have the potential to benefit from enhancements to multi-modal sustainable connections with Bedford town centre and the railway station;</w:t>
            </w:r>
            <w:r w:rsidRPr="00056D7A">
              <w:rPr>
                <w:rFonts w:ascii="Arial" w:eastAsia="Verdana" w:hAnsi="Arial" w:cs="Arial"/>
                <w:color w:val="7F7F7F" w:themeColor="text1" w:themeTint="80"/>
                <w:sz w:val="20"/>
                <w:szCs w:val="20"/>
                <w:u w:val="single"/>
                <w:lang w:val="en-GB"/>
              </w:rPr>
              <w:br/>
            </w:r>
          </w:p>
          <w:p w14:paraId="295890BD" w14:textId="43B0680D"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b/>
                <w:bCs/>
                <w:color w:val="7F7F7F" w:themeColor="text1" w:themeTint="80"/>
                <w:sz w:val="20"/>
                <w:szCs w:val="20"/>
                <w:lang w:val="en-GB"/>
              </w:rPr>
            </w:pPr>
            <w:r w:rsidRPr="00056D7A">
              <w:rPr>
                <w:rFonts w:ascii="Arial" w:eastAsia="Verdana" w:hAnsi="Arial" w:cs="Arial"/>
                <w:b/>
                <w:bCs/>
                <w:color w:val="7F7F7F" w:themeColor="text1" w:themeTint="80"/>
                <w:sz w:val="20"/>
                <w:szCs w:val="20"/>
                <w:lang w:val="en-GB"/>
              </w:rPr>
              <w:t>Strategic locations adjacent to the urban area which contribute to delivering the Bedford – Milton Keynes Waterway Park and the Bedford River Valley Park</w:t>
            </w:r>
            <w:r w:rsidRPr="00056D7A">
              <w:rPr>
                <w:rFonts w:ascii="Arial" w:eastAsia="Verdana" w:hAnsi="Arial" w:cs="Arial"/>
                <w:b/>
                <w:bCs/>
                <w:color w:val="7F7F7F" w:themeColor="text1" w:themeTint="80"/>
                <w:sz w:val="20"/>
                <w:szCs w:val="20"/>
                <w:lang w:val="en-GB"/>
              </w:rPr>
              <w:br/>
            </w:r>
          </w:p>
          <w:p w14:paraId="45B56F3D" w14:textId="61948D11"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lang w:val="en-GB"/>
              </w:rPr>
            </w:pPr>
            <w:r w:rsidRPr="00056D7A">
              <w:rPr>
                <w:rFonts w:ascii="Arial" w:eastAsia="Verdana" w:hAnsi="Arial" w:cs="Arial"/>
                <w:color w:val="7F7F7F" w:themeColor="text1" w:themeTint="80"/>
                <w:sz w:val="20"/>
                <w:szCs w:val="20"/>
                <w:lang w:val="en-GB"/>
              </w:rPr>
              <w:t xml:space="preserve">vi. Residential-led development focussed at Gibraltar Corner and the Bedford River Valley Park north of the A603 which enhances and expands areas of green infrastructure and, in doing so, prevents coalescence between the urban area and existing settlements to protect their separate character and identity; </w:t>
            </w:r>
            <w:r w:rsidRPr="00056D7A">
              <w:rPr>
                <w:rFonts w:ascii="Arial" w:eastAsia="Verdana" w:hAnsi="Arial" w:cs="Arial"/>
                <w:color w:val="7F7F7F" w:themeColor="text1" w:themeTint="80"/>
                <w:sz w:val="20"/>
                <w:szCs w:val="20"/>
                <w:lang w:val="en-GB"/>
              </w:rPr>
              <w:br/>
            </w:r>
          </w:p>
          <w:p w14:paraId="5C794310" w14:textId="1AF4B6EB"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lang w:val="en-GB"/>
              </w:rPr>
            </w:pPr>
            <w:r w:rsidRPr="00056D7A">
              <w:rPr>
                <w:rFonts w:ascii="Arial" w:eastAsia="Verdana" w:hAnsi="Arial" w:cs="Arial"/>
                <w:color w:val="7F7F7F" w:themeColor="text1" w:themeTint="80"/>
                <w:sz w:val="20"/>
                <w:szCs w:val="20"/>
                <w:lang w:val="en-GB"/>
              </w:rPr>
              <w:t xml:space="preserve">vii. Employment-led development at land south of </w:t>
            </w:r>
            <w:proofErr w:type="spellStart"/>
            <w:r w:rsidRPr="00056D7A">
              <w:rPr>
                <w:rFonts w:ascii="Arial" w:eastAsia="Verdana" w:hAnsi="Arial" w:cs="Arial"/>
                <w:color w:val="7F7F7F" w:themeColor="text1" w:themeTint="80"/>
                <w:sz w:val="20"/>
                <w:szCs w:val="20"/>
                <w:lang w:val="en-GB"/>
              </w:rPr>
              <w:t>Goldington</w:t>
            </w:r>
            <w:proofErr w:type="spellEnd"/>
            <w:r w:rsidRPr="00056D7A">
              <w:rPr>
                <w:rFonts w:ascii="Arial" w:eastAsia="Verdana" w:hAnsi="Arial" w:cs="Arial"/>
                <w:color w:val="7F7F7F" w:themeColor="text1" w:themeTint="80"/>
                <w:sz w:val="20"/>
                <w:szCs w:val="20"/>
                <w:lang w:val="en-GB"/>
              </w:rPr>
              <w:t xml:space="preserve"> Road. </w:t>
            </w:r>
            <w:r w:rsidRPr="00056D7A">
              <w:rPr>
                <w:rFonts w:ascii="Arial" w:eastAsia="Verdana" w:hAnsi="Arial" w:cs="Arial"/>
                <w:color w:val="7F7F7F" w:themeColor="text1" w:themeTint="80"/>
                <w:sz w:val="20"/>
                <w:szCs w:val="20"/>
                <w:lang w:val="en-GB"/>
              </w:rPr>
              <w:br/>
            </w:r>
          </w:p>
          <w:p w14:paraId="51B93636" w14:textId="12F11BAD"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b/>
                <w:bCs/>
                <w:color w:val="7F7F7F" w:themeColor="text1" w:themeTint="80"/>
                <w:sz w:val="20"/>
                <w:szCs w:val="20"/>
                <w:lang w:val="en-GB"/>
              </w:rPr>
            </w:pPr>
            <w:r w:rsidRPr="00056D7A">
              <w:rPr>
                <w:rFonts w:ascii="Arial" w:eastAsia="Verdana" w:hAnsi="Arial" w:cs="Arial"/>
                <w:b/>
                <w:bCs/>
                <w:color w:val="7F7F7F" w:themeColor="text1" w:themeTint="80"/>
                <w:sz w:val="20"/>
                <w:szCs w:val="20"/>
                <w:lang w:val="en-GB"/>
              </w:rPr>
              <w:t>Growth locations on the East West Rail / A421 transport corridor and with the potential for rail based growth</w:t>
            </w:r>
            <w:r w:rsidRPr="00056D7A">
              <w:rPr>
                <w:rFonts w:ascii="Arial" w:eastAsia="Verdana" w:hAnsi="Arial" w:cs="Arial"/>
                <w:color w:val="7F7F7F" w:themeColor="text1" w:themeTint="80"/>
                <w:sz w:val="20"/>
                <w:szCs w:val="20"/>
                <w:lang w:val="en-GB"/>
              </w:rPr>
              <w:t xml:space="preserve"> </w:t>
            </w:r>
            <w:r w:rsidRPr="00056D7A">
              <w:rPr>
                <w:rFonts w:ascii="Arial" w:eastAsia="Verdana" w:hAnsi="Arial" w:cs="Arial"/>
                <w:color w:val="7F7F7F" w:themeColor="text1" w:themeTint="80"/>
                <w:sz w:val="20"/>
                <w:szCs w:val="20"/>
                <w:lang w:val="en-GB"/>
              </w:rPr>
              <w:br/>
            </w:r>
            <w:r w:rsidRPr="00056D7A">
              <w:rPr>
                <w:rFonts w:ascii="Arial" w:eastAsia="Verdana" w:hAnsi="Arial" w:cs="Arial"/>
                <w:color w:val="7F7F7F" w:themeColor="text1" w:themeTint="80"/>
                <w:sz w:val="20"/>
                <w:szCs w:val="20"/>
                <w:lang w:val="en-GB"/>
              </w:rPr>
              <w:br/>
            </w:r>
            <w:r w:rsidRPr="00056D7A">
              <w:rPr>
                <w:rFonts w:ascii="Arial" w:eastAsia="Verdana" w:hAnsi="Arial" w:cs="Arial"/>
                <w:color w:val="7F7F7F" w:themeColor="text1" w:themeTint="80"/>
                <w:sz w:val="20"/>
                <w:szCs w:val="20"/>
                <w:u w:val="single"/>
                <w:lang w:val="en-GB"/>
              </w:rPr>
              <w:t>South of Bedford policy area</w:t>
            </w:r>
            <w:r w:rsidRPr="00056D7A">
              <w:rPr>
                <w:rFonts w:ascii="Arial" w:eastAsia="Verdana" w:hAnsi="Arial" w:cs="Arial"/>
                <w:b/>
                <w:bCs/>
                <w:color w:val="7F7F7F" w:themeColor="text1" w:themeTint="80"/>
                <w:sz w:val="20"/>
                <w:szCs w:val="20"/>
                <w:lang w:val="en-GB"/>
              </w:rPr>
              <w:t xml:space="preserve"> </w:t>
            </w:r>
            <w:r w:rsidRPr="00056D7A">
              <w:rPr>
                <w:rFonts w:ascii="Arial" w:eastAsia="Verdana" w:hAnsi="Arial" w:cs="Arial"/>
                <w:b/>
                <w:bCs/>
                <w:color w:val="7F7F7F" w:themeColor="text1" w:themeTint="80"/>
                <w:sz w:val="20"/>
                <w:szCs w:val="20"/>
                <w:lang w:val="en-GB"/>
              </w:rPr>
              <w:br/>
            </w:r>
          </w:p>
          <w:p w14:paraId="49618AE3" w14:textId="46BF7ADD"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lang w:val="en-GB"/>
              </w:rPr>
            </w:pPr>
            <w:r w:rsidRPr="00056D7A">
              <w:rPr>
                <w:rFonts w:ascii="Arial" w:eastAsia="Verdana" w:hAnsi="Arial" w:cs="Arial"/>
                <w:color w:val="7F7F7F" w:themeColor="text1" w:themeTint="80"/>
                <w:sz w:val="20"/>
                <w:szCs w:val="20"/>
                <w:lang w:val="en-GB"/>
              </w:rPr>
              <w:t xml:space="preserve">viii. Establishing an Arc-leading new settlement south of Bedford for innovation and an exemplar for landscape-led development and community building, based around the opportunity that the Stewartby Hardwick station on East-West Rail and the new Wixams station on the Midland Main Line presents; </w:t>
            </w:r>
            <w:r w:rsidRPr="00056D7A">
              <w:rPr>
                <w:rFonts w:ascii="Arial" w:eastAsia="Verdana" w:hAnsi="Arial" w:cs="Arial"/>
                <w:color w:val="7F7F7F" w:themeColor="text1" w:themeTint="80"/>
                <w:sz w:val="20"/>
                <w:szCs w:val="20"/>
                <w:lang w:val="en-GB"/>
              </w:rPr>
              <w:br/>
            </w:r>
          </w:p>
          <w:p w14:paraId="3E19F511" w14:textId="3AD940E9"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lang w:val="en-GB"/>
              </w:rPr>
            </w:pPr>
            <w:r w:rsidRPr="00056D7A">
              <w:rPr>
                <w:rFonts w:ascii="Arial" w:eastAsia="Verdana" w:hAnsi="Arial" w:cs="Arial"/>
                <w:color w:val="7F7F7F" w:themeColor="text1" w:themeTint="80"/>
                <w:sz w:val="20"/>
                <w:szCs w:val="20"/>
                <w:lang w:val="en-GB"/>
              </w:rPr>
              <w:t xml:space="preserve">ix. The completion of Wixams new settlement, incorporating eastern and southern extensions, and the development of a strategic village expansion utilising brownfield land at Kempston Hardwick identified in Local Plan 2030; </w:t>
            </w:r>
            <w:r w:rsidRPr="00056D7A">
              <w:rPr>
                <w:rFonts w:ascii="Arial" w:eastAsia="Verdana" w:hAnsi="Arial" w:cs="Arial"/>
                <w:color w:val="7F7F7F" w:themeColor="text1" w:themeTint="80"/>
                <w:sz w:val="20"/>
                <w:szCs w:val="20"/>
                <w:lang w:val="en-GB"/>
              </w:rPr>
              <w:br/>
            </w:r>
          </w:p>
          <w:p w14:paraId="04DB5569" w14:textId="77777777"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lang w:val="en-GB"/>
              </w:rPr>
            </w:pPr>
            <w:r w:rsidRPr="00056D7A">
              <w:rPr>
                <w:rFonts w:ascii="Arial" w:eastAsia="Verdana" w:hAnsi="Arial" w:cs="Arial"/>
                <w:color w:val="7F7F7F" w:themeColor="text1" w:themeTint="80"/>
                <w:sz w:val="20"/>
                <w:szCs w:val="20"/>
                <w:lang w:val="en-GB"/>
              </w:rPr>
              <w:t xml:space="preserve">x. An expansion of Shortstown to the west with active travel links to the rail network. </w:t>
            </w:r>
          </w:p>
          <w:p w14:paraId="1D2073CB" w14:textId="77777777" w:rsidR="00056D7A" w:rsidRPr="00056D7A" w:rsidRDefault="00056D7A"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lang w:val="en-GB"/>
              </w:rPr>
            </w:pPr>
          </w:p>
          <w:p w14:paraId="6D685484" w14:textId="01070073"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u w:val="single"/>
                <w:lang w:val="en-GB"/>
              </w:rPr>
            </w:pPr>
            <w:r w:rsidRPr="00056D7A">
              <w:rPr>
                <w:rFonts w:ascii="Arial" w:eastAsia="Verdana" w:hAnsi="Arial" w:cs="Arial"/>
                <w:color w:val="7F7F7F" w:themeColor="text1" w:themeTint="80"/>
                <w:sz w:val="20"/>
                <w:szCs w:val="20"/>
                <w:u w:val="single"/>
                <w:lang w:val="en-GB"/>
              </w:rPr>
              <w:t>Little Barford area</w:t>
            </w:r>
            <w:r w:rsidRPr="00056D7A">
              <w:rPr>
                <w:rFonts w:ascii="Arial" w:eastAsia="Verdana" w:hAnsi="Arial" w:cs="Arial"/>
                <w:color w:val="7F7F7F" w:themeColor="text1" w:themeTint="80"/>
                <w:sz w:val="20"/>
                <w:szCs w:val="20"/>
                <w:u w:val="single"/>
                <w:lang w:val="en-GB"/>
              </w:rPr>
              <w:br/>
            </w:r>
          </w:p>
          <w:p w14:paraId="567F2EB5" w14:textId="3F2E6868"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lang w:val="en-GB"/>
              </w:rPr>
            </w:pPr>
            <w:r w:rsidRPr="00056D7A">
              <w:rPr>
                <w:rFonts w:ascii="Arial" w:eastAsia="Verdana" w:hAnsi="Arial" w:cs="Arial"/>
                <w:color w:val="7F7F7F" w:themeColor="text1" w:themeTint="80"/>
                <w:sz w:val="20"/>
                <w:szCs w:val="20"/>
                <w:lang w:val="en-GB"/>
              </w:rPr>
              <w:t xml:space="preserve">xi. A new settlement and related employment provision at Little Barford well connected to the new East-West Rail station at its intersection with the East Coast Main Line. </w:t>
            </w:r>
          </w:p>
          <w:p w14:paraId="72683824" w14:textId="77777777"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lang w:val="en-GB"/>
              </w:rPr>
            </w:pPr>
          </w:p>
          <w:p w14:paraId="682FBF2D" w14:textId="56ECF25F"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b/>
                <w:bCs/>
                <w:color w:val="7F7F7F" w:themeColor="text1" w:themeTint="80"/>
                <w:sz w:val="20"/>
                <w:szCs w:val="20"/>
                <w:u w:val="single"/>
                <w:lang w:val="en-GB"/>
              </w:rPr>
            </w:pPr>
            <w:r w:rsidRPr="00056D7A">
              <w:rPr>
                <w:rFonts w:ascii="Arial" w:eastAsia="Verdana" w:hAnsi="Arial" w:cs="Arial"/>
                <w:color w:val="7F7F7F" w:themeColor="text1" w:themeTint="80"/>
                <w:sz w:val="20"/>
                <w:szCs w:val="20"/>
                <w:u w:val="single"/>
                <w:lang w:val="en-GB"/>
              </w:rPr>
              <w:t>Other employment sites</w:t>
            </w:r>
            <w:r w:rsidRPr="00056D7A">
              <w:rPr>
                <w:rFonts w:ascii="Arial" w:eastAsia="Verdana" w:hAnsi="Arial" w:cs="Arial"/>
                <w:b/>
                <w:bCs/>
                <w:color w:val="7F7F7F" w:themeColor="text1" w:themeTint="80"/>
                <w:sz w:val="20"/>
                <w:szCs w:val="20"/>
                <w:u w:val="single"/>
                <w:lang w:val="en-GB"/>
              </w:rPr>
              <w:br/>
            </w:r>
          </w:p>
          <w:p w14:paraId="0AC610FF" w14:textId="04A8FD1E" w:rsidR="00714659" w:rsidRPr="00056D7A" w:rsidRDefault="00056D7A"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lang w:val="en-GB"/>
              </w:rPr>
            </w:pPr>
            <w:r w:rsidRPr="00056D7A">
              <w:rPr>
                <w:rFonts w:ascii="Arial" w:eastAsia="Verdana" w:hAnsi="Arial" w:cs="Arial"/>
                <w:color w:val="7F7F7F" w:themeColor="text1" w:themeTint="80"/>
                <w:sz w:val="20"/>
                <w:szCs w:val="20"/>
                <w:lang w:val="en-GB"/>
              </w:rPr>
              <w:t xml:space="preserve">xii. </w:t>
            </w:r>
            <w:r w:rsidR="00714659" w:rsidRPr="00056D7A">
              <w:rPr>
                <w:rFonts w:ascii="Arial" w:eastAsia="Verdana" w:hAnsi="Arial" w:cs="Arial"/>
                <w:color w:val="7F7F7F" w:themeColor="text1" w:themeTint="80"/>
                <w:sz w:val="20"/>
                <w:szCs w:val="20"/>
                <w:lang w:val="en-GB"/>
              </w:rPr>
              <w:t xml:space="preserve">Locations well-related to the strategic road and rail network that will deliver employment growth, making Bedford an attractive place to do business. </w:t>
            </w:r>
          </w:p>
          <w:p w14:paraId="62032A5C" w14:textId="77777777" w:rsidR="00056D7A" w:rsidRPr="00056D7A" w:rsidRDefault="00056D7A"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lang w:val="en-GB"/>
              </w:rPr>
            </w:pPr>
          </w:p>
          <w:p w14:paraId="6B86AC79" w14:textId="5B1B0C7D"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b/>
                <w:bCs/>
                <w:color w:val="7F7F7F" w:themeColor="text1" w:themeTint="80"/>
                <w:sz w:val="20"/>
                <w:szCs w:val="20"/>
                <w:u w:val="single"/>
                <w:lang w:val="en-GB"/>
              </w:rPr>
            </w:pPr>
            <w:r w:rsidRPr="00056D7A">
              <w:rPr>
                <w:rFonts w:ascii="Arial" w:eastAsia="Verdana" w:hAnsi="Arial" w:cs="Arial"/>
                <w:color w:val="7F7F7F" w:themeColor="text1" w:themeTint="80"/>
                <w:sz w:val="20"/>
                <w:szCs w:val="20"/>
                <w:u w:val="single"/>
                <w:lang w:val="en-GB"/>
              </w:rPr>
              <w:t>Rural area</w:t>
            </w:r>
            <w:r w:rsidRPr="00056D7A">
              <w:rPr>
                <w:rFonts w:ascii="Arial" w:eastAsia="Verdana" w:hAnsi="Arial" w:cs="Arial"/>
                <w:b/>
                <w:bCs/>
                <w:color w:val="7F7F7F" w:themeColor="text1" w:themeTint="80"/>
                <w:sz w:val="20"/>
                <w:szCs w:val="20"/>
                <w:u w:val="single"/>
                <w:lang w:val="en-GB"/>
              </w:rPr>
              <w:t xml:space="preserve"> </w:t>
            </w:r>
            <w:r w:rsidRPr="00056D7A">
              <w:rPr>
                <w:rFonts w:ascii="Arial" w:eastAsia="Verdana" w:hAnsi="Arial" w:cs="Arial"/>
                <w:b/>
                <w:bCs/>
                <w:color w:val="7F7F7F" w:themeColor="text1" w:themeTint="80"/>
                <w:sz w:val="20"/>
                <w:szCs w:val="20"/>
                <w:u w:val="single"/>
                <w:lang w:val="en-GB"/>
              </w:rPr>
              <w:br/>
            </w:r>
          </w:p>
          <w:p w14:paraId="289393BF" w14:textId="37BAF96B"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lang w:val="en-GB"/>
              </w:rPr>
            </w:pPr>
            <w:r w:rsidRPr="00056D7A">
              <w:rPr>
                <w:rFonts w:ascii="Arial" w:eastAsia="Verdana" w:hAnsi="Arial" w:cs="Arial"/>
                <w:color w:val="7F7F7F" w:themeColor="text1" w:themeTint="80"/>
                <w:sz w:val="20"/>
                <w:szCs w:val="20"/>
                <w:lang w:val="en-GB"/>
              </w:rPr>
              <w:t xml:space="preserve">xiii. The completion of strategic Key Service Centre outside the Greater Bedford area and more limited Rural Service Centre residential development identified in Local Plan 2030 on sites which are allocated in neighbourhood plans and the completion of Local Plan 2030 Policy 27 Land north of School Lane, Roxton; </w:t>
            </w:r>
            <w:r w:rsidRPr="00056D7A">
              <w:rPr>
                <w:rFonts w:ascii="Arial" w:eastAsia="Verdana" w:hAnsi="Arial" w:cs="Arial"/>
                <w:color w:val="7F7F7F" w:themeColor="text1" w:themeTint="80"/>
                <w:sz w:val="20"/>
                <w:szCs w:val="20"/>
                <w:lang w:val="en-GB"/>
              </w:rPr>
              <w:br/>
            </w:r>
          </w:p>
          <w:p w14:paraId="3A770808" w14:textId="4BA671AB" w:rsidR="00714659" w:rsidRPr="00056D7A"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b/>
                <w:bCs/>
                <w:color w:val="7F7F7F" w:themeColor="text1" w:themeTint="80"/>
                <w:sz w:val="20"/>
                <w:szCs w:val="20"/>
                <w:lang w:val="en-GB"/>
              </w:rPr>
            </w:pPr>
            <w:r w:rsidRPr="00056D7A">
              <w:rPr>
                <w:rFonts w:ascii="Arial" w:eastAsia="Verdana" w:hAnsi="Arial" w:cs="Arial"/>
                <w:color w:val="7F7F7F" w:themeColor="text1" w:themeTint="80"/>
                <w:sz w:val="20"/>
                <w:szCs w:val="20"/>
                <w:lang w:val="en-GB"/>
              </w:rPr>
              <w:t>xiv. Safeguarding the intrinsic character of the countryside and the environment and</w:t>
            </w:r>
            <w:r w:rsidR="00056D7A" w:rsidRPr="00056D7A">
              <w:rPr>
                <w:rFonts w:ascii="Arial" w:eastAsia="Verdana" w:hAnsi="Arial" w:cs="Arial"/>
                <w:color w:val="7F7F7F" w:themeColor="text1" w:themeTint="80"/>
                <w:sz w:val="20"/>
                <w:szCs w:val="20"/>
                <w:lang w:val="en-GB"/>
              </w:rPr>
              <w:t xml:space="preserve"> biodiversity</w:t>
            </w:r>
            <w:r w:rsidR="00056D7A">
              <w:rPr>
                <w:rFonts w:ascii="Arial" w:eastAsia="Verdana" w:hAnsi="Arial" w:cs="Arial"/>
                <w:color w:val="7F7F7F" w:themeColor="text1" w:themeTint="80"/>
                <w:sz w:val="20"/>
                <w:szCs w:val="20"/>
                <w:lang w:val="en-GB"/>
              </w:rPr>
              <w:t>.</w:t>
            </w:r>
            <w:r w:rsidR="00056D7A" w:rsidRPr="00056D7A">
              <w:rPr>
                <w:rFonts w:ascii="Arial" w:eastAsia="Verdana" w:hAnsi="Arial" w:cs="Arial"/>
                <w:color w:val="7F7F7F" w:themeColor="text1" w:themeTint="80"/>
                <w:sz w:val="20"/>
                <w:szCs w:val="20"/>
                <w:lang w:val="en-GB"/>
              </w:rPr>
              <w:t xml:space="preserve"> </w:t>
            </w:r>
          </w:p>
          <w:p w14:paraId="461E2CE9" w14:textId="77777777" w:rsidR="00714659" w:rsidRDefault="00714659" w:rsidP="00714659">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b/>
                <w:bCs/>
                <w:color w:val="000000"/>
                <w:sz w:val="20"/>
                <w:szCs w:val="20"/>
                <w:lang w:val="en-GB"/>
              </w:rPr>
            </w:pPr>
          </w:p>
          <w:p w14:paraId="615DC523" w14:textId="49CE0CA7" w:rsidR="00714659" w:rsidRDefault="00714659" w:rsidP="006C031A">
            <w:pPr>
              <w:spacing w:after="160" w:line="259" w:lineRule="auto"/>
              <w:rPr>
                <w:rFonts w:ascii="Arial" w:eastAsia="Verdana" w:hAnsi="Arial" w:cs="Arial"/>
                <w:sz w:val="20"/>
                <w:szCs w:val="20"/>
                <w:lang w:val="en-GB"/>
              </w:rPr>
            </w:pPr>
          </w:p>
          <w:p w14:paraId="357E0AC2"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(Continue on a separate sheet /expand box if necessary)</w:t>
            </w:r>
          </w:p>
        </w:tc>
      </w:tr>
      <w:tr w:rsidR="000B09FB" w:rsidRPr="000B09FB" w14:paraId="6100B7CE" w14:textId="77777777" w:rsidTr="008D4483">
        <w:trPr>
          <w:cantSplit/>
          <w:trHeight w:val="57"/>
        </w:trPr>
        <w:tc>
          <w:tcPr>
            <w:tcW w:w="8568" w:type="dxa"/>
            <w:gridSpan w:val="14"/>
            <w:shd w:val="clear" w:color="auto" w:fill="auto"/>
            <w:tcMar>
              <w:top w:w="0" w:type="dxa"/>
              <w:left w:w="108" w:type="dxa"/>
              <w:bottom w:w="0" w:type="dxa"/>
              <w:right w:w="108" w:type="dxa"/>
            </w:tcMar>
            <w:vAlign w:val="center"/>
          </w:tcPr>
          <w:p w14:paraId="35B94AD7" w14:textId="77777777" w:rsidR="000B09FB" w:rsidRPr="000B09FB" w:rsidRDefault="000B09FB" w:rsidP="000B09FB">
            <w:pPr>
              <w:rPr>
                <w:rFonts w:ascii="Arial" w:hAnsi="Arial" w:cs="Arial"/>
                <w:sz w:val="20"/>
                <w:szCs w:val="20"/>
                <w:lang w:val="en-GB"/>
              </w:rPr>
            </w:pPr>
          </w:p>
          <w:p w14:paraId="2078EB41" w14:textId="77777777" w:rsidR="000B09FB" w:rsidRPr="000B09FB" w:rsidRDefault="000B09FB" w:rsidP="000B09FB">
            <w:pPr>
              <w:rPr>
                <w:rFonts w:ascii="Arial" w:hAnsi="Arial" w:cs="Arial"/>
                <w:i/>
                <w:iCs/>
                <w:sz w:val="20"/>
                <w:szCs w:val="20"/>
                <w:lang w:val="en-GB"/>
              </w:rPr>
            </w:pPr>
            <w:r w:rsidRPr="000B09FB">
              <w:rPr>
                <w:rFonts w:ascii="Arial" w:hAnsi="Arial" w:cs="Arial"/>
                <w:b/>
                <w:i/>
                <w:iCs/>
                <w:sz w:val="20"/>
                <w:szCs w:val="20"/>
                <w:lang w:val="en-GB"/>
              </w:rPr>
              <w:t>Please note</w:t>
            </w:r>
            <w:r>
              <w:rPr>
                <w:rFonts w:ascii="Arial" w:hAnsi="Arial" w:cs="Arial"/>
                <w:b/>
                <w:i/>
                <w:iCs/>
                <w:sz w:val="20"/>
                <w:szCs w:val="20"/>
                <w:lang w:val="en-GB"/>
              </w:rPr>
              <w:t>.</w:t>
            </w:r>
            <w:r w:rsidRPr="000B09FB">
              <w:rPr>
                <w:rFonts w:ascii="Arial" w:hAnsi="Arial" w:cs="Arial"/>
                <w:i/>
                <w:iCs/>
                <w:sz w:val="20"/>
                <w:szCs w:val="20"/>
                <w:lang w:val="en-GB"/>
              </w:rPr>
              <w:t xml:space="preserve">  In your representation y</w:t>
            </w:r>
            <w:r w:rsidRPr="000B09FB">
              <w:rPr>
                <w:rFonts w:ascii="Arial" w:hAnsi="Arial" w:cs="Arial"/>
                <w:i/>
                <w:sz w:val="20"/>
                <w:szCs w:val="20"/>
                <w:lang w:val="en-GB"/>
              </w:rPr>
              <w:t xml:space="preserve">ou </w:t>
            </w:r>
            <w:r w:rsidRPr="000B09FB">
              <w:rPr>
                <w:rFonts w:ascii="Arial" w:hAnsi="Arial" w:cs="Arial"/>
                <w:i/>
                <w:iCs/>
                <w:sz w:val="20"/>
                <w:szCs w:val="20"/>
                <w:lang w:val="en-GB"/>
              </w:rPr>
              <w:t>should provide succinctly all the evidence and supporting information necessary to support your representation and your suggested modification(s).  You should not assume that you will have a further opportunity to make submissions.</w:t>
            </w:r>
          </w:p>
          <w:p w14:paraId="59E5EB96" w14:textId="77777777" w:rsidR="000B09FB" w:rsidRPr="000B09FB" w:rsidRDefault="000B09FB" w:rsidP="000B09FB">
            <w:pPr>
              <w:rPr>
                <w:rFonts w:ascii="Arial" w:hAnsi="Arial" w:cs="Arial"/>
                <w:b/>
                <w:bCs/>
                <w:i/>
                <w:iCs/>
                <w:sz w:val="20"/>
                <w:szCs w:val="20"/>
                <w:lang w:val="en-GB"/>
              </w:rPr>
            </w:pPr>
            <w:r w:rsidRPr="000B09FB">
              <w:rPr>
                <w:rFonts w:ascii="Arial" w:hAnsi="Arial" w:cs="Arial"/>
                <w:b/>
                <w:bCs/>
                <w:i/>
                <w:iCs/>
                <w:sz w:val="20"/>
                <w:szCs w:val="20"/>
                <w:lang w:val="en-GB"/>
              </w:rPr>
              <w:t>After this stage, further submissions may only be made if invited by the Inspector, based on the matters and issues he or she identifies for examination.</w:t>
            </w:r>
          </w:p>
          <w:p w14:paraId="648BC490" w14:textId="77777777" w:rsidR="000B09FB" w:rsidRPr="000B09FB" w:rsidRDefault="000B09FB" w:rsidP="000B09FB">
            <w:pPr>
              <w:rPr>
                <w:rFonts w:ascii="Arial" w:hAnsi="Arial" w:cs="Arial"/>
                <w:b/>
                <w:bCs/>
                <w:i/>
                <w:sz w:val="20"/>
                <w:szCs w:val="20"/>
                <w:lang w:val="en-GB"/>
              </w:rPr>
            </w:pPr>
          </w:p>
        </w:tc>
      </w:tr>
      <w:tr w:rsidR="000B09FB" w:rsidRPr="000B09FB" w14:paraId="32A132E6" w14:textId="77777777" w:rsidTr="008D4483">
        <w:trPr>
          <w:cantSplit/>
          <w:trHeight w:val="540"/>
        </w:trPr>
        <w:tc>
          <w:tcPr>
            <w:tcW w:w="8568" w:type="dxa"/>
            <w:gridSpan w:val="14"/>
            <w:shd w:val="clear" w:color="auto" w:fill="auto"/>
            <w:tcMar>
              <w:top w:w="0" w:type="dxa"/>
              <w:left w:w="108" w:type="dxa"/>
              <w:bottom w:w="0" w:type="dxa"/>
              <w:right w:w="108" w:type="dxa"/>
            </w:tcMar>
            <w:vAlign w:val="center"/>
          </w:tcPr>
          <w:p w14:paraId="73983E76" w14:textId="77777777" w:rsidR="000B09FB" w:rsidRPr="000B09FB" w:rsidRDefault="000B09FB" w:rsidP="000B09FB">
            <w:pPr>
              <w:rPr>
                <w:rFonts w:ascii="Arial" w:hAnsi="Arial" w:cs="Arial"/>
                <w:bCs/>
                <w:sz w:val="20"/>
                <w:szCs w:val="20"/>
                <w:lang w:val="en-GB"/>
              </w:rPr>
            </w:pPr>
            <w:r w:rsidRPr="000B09FB">
              <w:rPr>
                <w:rFonts w:ascii="Arial" w:hAnsi="Arial" w:cs="Arial"/>
                <w:bCs/>
                <w:sz w:val="20"/>
                <w:szCs w:val="20"/>
                <w:lang w:val="en-GB"/>
              </w:rPr>
              <w:t>7. If your representation is seeking a modification to the plan, do you consider it necessary to participate in examination hearing session(s)?</w:t>
            </w:r>
          </w:p>
        </w:tc>
      </w:tr>
      <w:tr w:rsidR="000B09FB" w:rsidRPr="000B09FB" w14:paraId="0F0F42EC" w14:textId="77777777" w:rsidTr="008D4483">
        <w:trPr>
          <w:cantSplit/>
          <w:trHeight w:val="120"/>
        </w:trPr>
        <w:tc>
          <w:tcPr>
            <w:tcW w:w="8568" w:type="dxa"/>
            <w:gridSpan w:val="14"/>
            <w:shd w:val="clear" w:color="auto" w:fill="auto"/>
            <w:noWrap/>
            <w:tcMar>
              <w:top w:w="0" w:type="dxa"/>
              <w:left w:w="108" w:type="dxa"/>
              <w:bottom w:w="0" w:type="dxa"/>
              <w:right w:w="108" w:type="dxa"/>
            </w:tcMar>
            <w:vAlign w:val="center"/>
          </w:tcPr>
          <w:p w14:paraId="6D2A691C" w14:textId="77777777" w:rsidR="000B09FB" w:rsidRPr="000B09FB" w:rsidRDefault="000B09FB" w:rsidP="000B09FB">
            <w:pPr>
              <w:rPr>
                <w:rFonts w:ascii="Arial" w:hAnsi="Arial" w:cs="Arial"/>
                <w:sz w:val="20"/>
                <w:szCs w:val="20"/>
                <w:lang w:val="en-GB"/>
              </w:rPr>
            </w:pPr>
          </w:p>
        </w:tc>
      </w:tr>
      <w:tr w:rsidR="000B09FB" w:rsidRPr="000B09FB" w14:paraId="7DC52A68" w14:textId="77777777" w:rsidTr="008D4483">
        <w:trPr>
          <w:cantSplit/>
          <w:trHeight w:val="284"/>
        </w:trPr>
        <w:tc>
          <w:tcPr>
            <w:tcW w:w="236" w:type="dxa"/>
            <w:tcBorders>
              <w:right w:val="single" w:sz="8" w:space="0" w:color="000000"/>
            </w:tcBorders>
            <w:shd w:val="clear" w:color="auto" w:fill="auto"/>
            <w:noWrap/>
            <w:tcMar>
              <w:top w:w="0" w:type="dxa"/>
              <w:left w:w="108" w:type="dxa"/>
              <w:bottom w:w="0" w:type="dxa"/>
              <w:right w:w="108" w:type="dxa"/>
            </w:tcMar>
            <w:vAlign w:val="center"/>
          </w:tcPr>
          <w:p w14:paraId="57871300" w14:textId="77777777" w:rsidR="000B09FB" w:rsidRPr="000B09FB" w:rsidRDefault="000B09FB" w:rsidP="000B09FB">
            <w:pPr>
              <w:rPr>
                <w:rFonts w:ascii="Arial" w:hAnsi="Arial" w:cs="Arial"/>
                <w:sz w:val="20"/>
                <w:szCs w:val="20"/>
                <w:lang w:val="en-GB"/>
              </w:rPr>
            </w:pPr>
          </w:p>
        </w:tc>
        <w:tc>
          <w:tcPr>
            <w:tcW w:w="10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F0DAD6" w14:textId="77777777" w:rsidR="000B09FB" w:rsidRPr="000B09FB" w:rsidRDefault="000B09FB" w:rsidP="000B09FB">
            <w:pPr>
              <w:rPr>
                <w:rFonts w:ascii="Arial" w:hAnsi="Arial" w:cs="Arial"/>
                <w:sz w:val="20"/>
                <w:szCs w:val="20"/>
                <w:lang w:val="en-GB"/>
              </w:rPr>
            </w:pPr>
          </w:p>
        </w:tc>
        <w:tc>
          <w:tcPr>
            <w:tcW w:w="3780" w:type="dxa"/>
            <w:gridSpan w:val="6"/>
            <w:tcBorders>
              <w:left w:val="single" w:sz="8" w:space="0" w:color="000000"/>
              <w:right w:val="single" w:sz="8" w:space="0" w:color="000000"/>
            </w:tcBorders>
            <w:shd w:val="clear" w:color="auto" w:fill="auto"/>
            <w:noWrap/>
            <w:tcMar>
              <w:top w:w="0" w:type="dxa"/>
              <w:left w:w="108" w:type="dxa"/>
              <w:bottom w:w="0" w:type="dxa"/>
              <w:right w:w="108" w:type="dxa"/>
            </w:tcMar>
            <w:vAlign w:val="center"/>
          </w:tcPr>
          <w:p w14:paraId="7A083CE6" w14:textId="77777777" w:rsidR="000B09FB" w:rsidRPr="000B09FB" w:rsidRDefault="000B09FB" w:rsidP="000B09FB">
            <w:pPr>
              <w:rPr>
                <w:rFonts w:ascii="Arial" w:hAnsi="Arial" w:cs="Arial"/>
                <w:sz w:val="20"/>
                <w:szCs w:val="20"/>
                <w:lang w:val="en-GB"/>
              </w:rPr>
            </w:pPr>
            <w:r w:rsidRPr="000B09FB">
              <w:rPr>
                <w:rFonts w:ascii="Arial" w:hAnsi="Arial" w:cs="Arial"/>
                <w:b/>
                <w:bCs/>
                <w:sz w:val="20"/>
                <w:szCs w:val="20"/>
                <w:lang w:val="en-GB"/>
              </w:rPr>
              <w:t>No</w:t>
            </w:r>
            <w:r w:rsidRPr="000B09FB">
              <w:rPr>
                <w:rFonts w:ascii="Arial" w:hAnsi="Arial" w:cs="Arial"/>
                <w:sz w:val="20"/>
                <w:szCs w:val="20"/>
                <w:lang w:val="en-GB"/>
              </w:rPr>
              <w:t xml:space="preserve">, I do not wish to </w:t>
            </w:r>
          </w:p>
          <w:p w14:paraId="291538D2"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participate in </w:t>
            </w:r>
          </w:p>
          <w:p w14:paraId="2E318E1B"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hearing session(s)</w:t>
            </w:r>
          </w:p>
        </w:tc>
        <w:tc>
          <w:tcPr>
            <w:tcW w:w="1042"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3E257607" w14:textId="4A688F9D" w:rsidR="000B09FB" w:rsidRPr="000B09FB" w:rsidRDefault="00C91F48" w:rsidP="000B09FB">
            <w:pPr>
              <w:rPr>
                <w:rFonts w:ascii="Arial" w:hAnsi="Arial" w:cs="Arial"/>
                <w:sz w:val="20"/>
                <w:szCs w:val="20"/>
                <w:lang w:val="en-GB"/>
              </w:rPr>
            </w:pPr>
            <w:r>
              <w:rPr>
                <w:rFonts w:ascii="Arial" w:hAnsi="Arial" w:cs="Arial"/>
                <w:sz w:val="20"/>
                <w:szCs w:val="20"/>
                <w:lang w:val="en-GB"/>
              </w:rPr>
              <w:sym w:font="Wingdings 2" w:char="F050"/>
            </w:r>
          </w:p>
        </w:tc>
        <w:tc>
          <w:tcPr>
            <w:tcW w:w="2486" w:type="dxa"/>
            <w:gridSpan w:val="4"/>
            <w:tcBorders>
              <w:left w:val="single" w:sz="8" w:space="0" w:color="000000"/>
            </w:tcBorders>
            <w:shd w:val="clear" w:color="auto" w:fill="auto"/>
            <w:noWrap/>
            <w:tcMar>
              <w:top w:w="0" w:type="dxa"/>
              <w:left w:w="108" w:type="dxa"/>
              <w:bottom w:w="0" w:type="dxa"/>
              <w:right w:w="108" w:type="dxa"/>
            </w:tcMar>
            <w:vAlign w:val="center"/>
          </w:tcPr>
          <w:p w14:paraId="3E2DCAAD" w14:textId="77777777" w:rsidR="000B09FB" w:rsidRPr="000B09FB" w:rsidRDefault="000B09FB" w:rsidP="008D4483">
            <w:pPr>
              <w:rPr>
                <w:rFonts w:ascii="Arial" w:hAnsi="Arial" w:cs="Arial"/>
                <w:sz w:val="20"/>
                <w:szCs w:val="20"/>
                <w:lang w:val="en-GB"/>
              </w:rPr>
            </w:pPr>
            <w:r w:rsidRPr="000B09FB">
              <w:rPr>
                <w:rFonts w:ascii="Arial" w:hAnsi="Arial" w:cs="Arial"/>
                <w:b/>
                <w:bCs/>
                <w:sz w:val="20"/>
                <w:szCs w:val="20"/>
                <w:lang w:val="en-GB"/>
              </w:rPr>
              <w:t>Yes</w:t>
            </w:r>
            <w:r w:rsidRPr="000B09FB">
              <w:rPr>
                <w:rFonts w:ascii="Arial" w:hAnsi="Arial" w:cs="Arial"/>
                <w:sz w:val="20"/>
                <w:szCs w:val="20"/>
                <w:lang w:val="en-GB"/>
              </w:rPr>
              <w:t>, I wish to participate in hearing session(s)</w:t>
            </w:r>
          </w:p>
        </w:tc>
      </w:tr>
      <w:tr w:rsidR="000B09FB" w:rsidRPr="000B09FB" w14:paraId="166319C4" w14:textId="77777777" w:rsidTr="008D4483">
        <w:trPr>
          <w:cantSplit/>
          <w:trHeight w:val="60"/>
        </w:trPr>
        <w:tc>
          <w:tcPr>
            <w:tcW w:w="8568" w:type="dxa"/>
            <w:gridSpan w:val="14"/>
            <w:shd w:val="clear" w:color="auto" w:fill="auto"/>
            <w:noWrap/>
            <w:tcMar>
              <w:top w:w="0" w:type="dxa"/>
              <w:left w:w="108" w:type="dxa"/>
              <w:bottom w:w="0" w:type="dxa"/>
              <w:right w:w="108" w:type="dxa"/>
            </w:tcMar>
            <w:vAlign w:val="center"/>
          </w:tcPr>
          <w:p w14:paraId="0FF8D6A3" w14:textId="77777777" w:rsidR="000B09FB" w:rsidRPr="000B09FB" w:rsidRDefault="000B09FB" w:rsidP="000B09FB">
            <w:pPr>
              <w:rPr>
                <w:rFonts w:ascii="Arial" w:hAnsi="Arial" w:cs="Arial"/>
                <w:sz w:val="20"/>
                <w:szCs w:val="20"/>
                <w:lang w:val="en-GB"/>
              </w:rPr>
            </w:pPr>
          </w:p>
          <w:p w14:paraId="584EF29F"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Please note that while this will provide an initial indication of your wish to participate in hearing session(s), you may be asked at a later point to confirm your request to participate.</w:t>
            </w:r>
          </w:p>
          <w:p w14:paraId="67BE9B92" w14:textId="77777777" w:rsidR="000B09FB" w:rsidRPr="000B09FB" w:rsidRDefault="000B09FB" w:rsidP="000B09FB">
            <w:pPr>
              <w:rPr>
                <w:rFonts w:ascii="Arial" w:hAnsi="Arial" w:cs="Arial"/>
                <w:sz w:val="20"/>
                <w:szCs w:val="20"/>
                <w:lang w:val="en-GB"/>
              </w:rPr>
            </w:pPr>
          </w:p>
        </w:tc>
      </w:tr>
      <w:tr w:rsidR="000B09FB" w:rsidRPr="000B09FB" w14:paraId="1E111C5B" w14:textId="77777777" w:rsidTr="008D4483">
        <w:trPr>
          <w:cantSplit/>
          <w:trHeight w:val="300"/>
        </w:trPr>
        <w:tc>
          <w:tcPr>
            <w:tcW w:w="8568" w:type="dxa"/>
            <w:gridSpan w:val="14"/>
            <w:shd w:val="clear" w:color="auto" w:fill="auto"/>
            <w:noWrap/>
            <w:tcMar>
              <w:top w:w="0" w:type="dxa"/>
              <w:left w:w="108" w:type="dxa"/>
              <w:bottom w:w="0" w:type="dxa"/>
              <w:right w:w="108" w:type="dxa"/>
            </w:tcMar>
            <w:vAlign w:val="center"/>
          </w:tcPr>
          <w:p w14:paraId="72E032FE"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8.  If you wish to participate in the hearing session(s), please outline why you consider this to be necessary:</w:t>
            </w:r>
          </w:p>
        </w:tc>
      </w:tr>
      <w:tr w:rsidR="000B09FB" w:rsidRPr="000B09FB" w14:paraId="01FE207E" w14:textId="77777777" w:rsidTr="008D4483">
        <w:trPr>
          <w:cantSplit/>
          <w:trHeight w:val="57"/>
        </w:trPr>
        <w:tc>
          <w:tcPr>
            <w:tcW w:w="8568" w:type="dxa"/>
            <w:gridSpan w:val="14"/>
            <w:tcBorders>
              <w:bottom w:val="single" w:sz="8" w:space="0" w:color="000000"/>
            </w:tcBorders>
            <w:shd w:val="clear" w:color="auto" w:fill="auto"/>
            <w:noWrap/>
            <w:tcMar>
              <w:top w:w="0" w:type="dxa"/>
              <w:left w:w="108" w:type="dxa"/>
              <w:bottom w:w="0" w:type="dxa"/>
              <w:right w:w="108" w:type="dxa"/>
            </w:tcMar>
            <w:vAlign w:val="center"/>
          </w:tcPr>
          <w:p w14:paraId="1179A00F" w14:textId="77777777" w:rsidR="000B09FB" w:rsidRPr="000B09FB" w:rsidRDefault="000B09FB" w:rsidP="000B09FB">
            <w:pPr>
              <w:rPr>
                <w:rFonts w:ascii="Arial" w:hAnsi="Arial" w:cs="Arial"/>
                <w:sz w:val="20"/>
                <w:szCs w:val="20"/>
                <w:lang w:val="en-GB"/>
              </w:rPr>
            </w:pPr>
          </w:p>
        </w:tc>
      </w:tr>
      <w:tr w:rsidR="000B09FB" w:rsidRPr="000B09FB" w14:paraId="36855FA0" w14:textId="77777777" w:rsidTr="008D4483">
        <w:trPr>
          <w:cantSplit/>
          <w:trHeight w:val="180"/>
        </w:trPr>
        <w:tc>
          <w:tcPr>
            <w:tcW w:w="8568" w:type="dxa"/>
            <w:gridSpan w:val="14"/>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B6D0BCF" w14:textId="77777777" w:rsidR="00A77A8F" w:rsidRDefault="00A77A8F" w:rsidP="006C031A">
            <w:pPr>
              <w:rPr>
                <w:rFonts w:ascii="Arial" w:hAnsi="Arial" w:cs="Arial"/>
                <w:sz w:val="20"/>
                <w:szCs w:val="20"/>
                <w:lang w:val="en-GB"/>
              </w:rPr>
            </w:pPr>
          </w:p>
          <w:p w14:paraId="14939A67" w14:textId="4CE1BF19" w:rsidR="006C031A" w:rsidRPr="006C031A" w:rsidRDefault="006C031A" w:rsidP="006C031A">
            <w:pPr>
              <w:rPr>
                <w:rFonts w:ascii="Arial" w:hAnsi="Arial" w:cs="Arial"/>
                <w:sz w:val="20"/>
                <w:szCs w:val="20"/>
                <w:lang w:val="en-GB"/>
              </w:rPr>
            </w:pPr>
            <w:r w:rsidRPr="006C031A">
              <w:rPr>
                <w:rFonts w:ascii="Arial" w:hAnsi="Arial" w:cs="Arial"/>
                <w:sz w:val="20"/>
                <w:szCs w:val="20"/>
                <w:lang w:val="en-GB"/>
              </w:rPr>
              <w:t>Hallam Land Management Limited believes, in promoting land at Clapham, that they have a key role to play in the delivery of housing in the Local Plan.</w:t>
            </w:r>
          </w:p>
          <w:p w14:paraId="7D972C91" w14:textId="77777777" w:rsidR="006C031A" w:rsidRPr="006C031A" w:rsidRDefault="006C031A" w:rsidP="006C031A">
            <w:pPr>
              <w:rPr>
                <w:rFonts w:ascii="Arial" w:hAnsi="Arial" w:cs="Arial"/>
                <w:sz w:val="20"/>
                <w:szCs w:val="20"/>
                <w:lang w:val="en-GB"/>
              </w:rPr>
            </w:pPr>
          </w:p>
          <w:p w14:paraId="0A4F2D42" w14:textId="4651DBFB" w:rsidR="00136A3F" w:rsidRDefault="006C031A" w:rsidP="000B09FB">
            <w:pPr>
              <w:rPr>
                <w:rFonts w:ascii="Arial" w:hAnsi="Arial" w:cs="Arial"/>
                <w:sz w:val="20"/>
                <w:szCs w:val="20"/>
                <w:lang w:val="en-GB"/>
              </w:rPr>
            </w:pPr>
            <w:r w:rsidRPr="006C031A">
              <w:rPr>
                <w:rFonts w:ascii="Arial" w:hAnsi="Arial" w:cs="Arial"/>
                <w:sz w:val="20"/>
                <w:szCs w:val="20"/>
                <w:lang w:val="en-GB"/>
              </w:rPr>
              <w:t>David Lock Associates and Hallam Land Management are able to support the Local Plan examination by providing evidence in relation to the deliverability of the spatial strategy and the provisions in the Local Plan that are necessary to support the delivery of the Plan objectives and hence which would make the Plan sound.</w:t>
            </w:r>
          </w:p>
          <w:p w14:paraId="4D71147C" w14:textId="77777777" w:rsidR="0032507A" w:rsidRPr="000B09FB" w:rsidRDefault="0032507A" w:rsidP="000B09FB">
            <w:pPr>
              <w:rPr>
                <w:rFonts w:ascii="Arial" w:hAnsi="Arial" w:cs="Arial"/>
                <w:sz w:val="20"/>
                <w:szCs w:val="20"/>
                <w:lang w:val="en-GB"/>
              </w:rPr>
            </w:pPr>
          </w:p>
          <w:p w14:paraId="39A97F4C" w14:textId="77777777" w:rsidR="000B09FB" w:rsidRPr="000B09FB" w:rsidRDefault="000B09FB" w:rsidP="000B09FB">
            <w:pPr>
              <w:rPr>
                <w:rFonts w:ascii="Arial" w:hAnsi="Arial" w:cs="Arial"/>
                <w:sz w:val="20"/>
                <w:szCs w:val="20"/>
                <w:lang w:val="en-GB"/>
              </w:rPr>
            </w:pPr>
          </w:p>
        </w:tc>
      </w:tr>
      <w:tr w:rsidR="000B09FB" w:rsidRPr="000B09FB" w14:paraId="58A3839D" w14:textId="77777777" w:rsidTr="008D4483">
        <w:trPr>
          <w:cantSplit/>
          <w:trHeight w:val="300"/>
        </w:trPr>
        <w:tc>
          <w:tcPr>
            <w:tcW w:w="8568" w:type="dxa"/>
            <w:gridSpan w:val="14"/>
            <w:shd w:val="clear" w:color="auto" w:fill="auto"/>
            <w:tcMar>
              <w:top w:w="0" w:type="dxa"/>
              <w:left w:w="108" w:type="dxa"/>
              <w:bottom w:w="0" w:type="dxa"/>
              <w:right w:w="108" w:type="dxa"/>
            </w:tcMar>
            <w:vAlign w:val="center"/>
          </w:tcPr>
          <w:p w14:paraId="35B24EDF" w14:textId="77777777" w:rsidR="000B09FB" w:rsidRDefault="000B09FB" w:rsidP="000B09FB">
            <w:pPr>
              <w:rPr>
                <w:rFonts w:ascii="Arial" w:hAnsi="Arial" w:cs="Arial"/>
                <w:b/>
                <w:i/>
                <w:sz w:val="20"/>
                <w:szCs w:val="20"/>
                <w:lang w:val="en-GB"/>
              </w:rPr>
            </w:pPr>
          </w:p>
          <w:p w14:paraId="1488A15F" w14:textId="77777777" w:rsidR="000B09FB" w:rsidRPr="000B09FB" w:rsidRDefault="000B09FB" w:rsidP="008E6F6F">
            <w:pPr>
              <w:rPr>
                <w:rFonts w:ascii="Arial" w:hAnsi="Arial" w:cs="Arial"/>
                <w:i/>
                <w:sz w:val="20"/>
                <w:szCs w:val="20"/>
                <w:lang w:val="en-GB"/>
              </w:rPr>
            </w:pPr>
            <w:r w:rsidRPr="000B09FB">
              <w:rPr>
                <w:rFonts w:ascii="Arial" w:hAnsi="Arial" w:cs="Arial"/>
                <w:b/>
                <w:i/>
                <w:sz w:val="20"/>
                <w:szCs w:val="20"/>
                <w:lang w:val="en-GB"/>
              </w:rPr>
              <w:t>Please note</w:t>
            </w:r>
            <w:r w:rsidRPr="000B09FB">
              <w:rPr>
                <w:rFonts w:ascii="Arial" w:hAnsi="Arial" w:cs="Arial"/>
                <w:i/>
                <w:sz w:val="20"/>
                <w:szCs w:val="20"/>
                <w:lang w:val="en-GB"/>
              </w:rPr>
              <w:t xml:space="preserve"> the Inspector will determine the most appropriate procedure to hear those who have indicated that they wish to participate in</w:t>
            </w:r>
            <w:r>
              <w:rPr>
                <w:rFonts w:ascii="Arial" w:hAnsi="Arial" w:cs="Arial"/>
                <w:i/>
                <w:sz w:val="20"/>
                <w:szCs w:val="20"/>
                <w:lang w:val="en-GB"/>
              </w:rPr>
              <w:t xml:space="preserve"> </w:t>
            </w:r>
            <w:r w:rsidRPr="000B09FB">
              <w:rPr>
                <w:rFonts w:ascii="Arial" w:hAnsi="Arial" w:cs="Arial"/>
                <w:i/>
                <w:sz w:val="20"/>
                <w:szCs w:val="20"/>
                <w:lang w:val="en-GB"/>
              </w:rPr>
              <w:t>hearing session(s).  You may be asked to confirm your wish to participate when the Inspector has identified the matters and issues for examination.</w:t>
            </w:r>
          </w:p>
        </w:tc>
      </w:tr>
    </w:tbl>
    <w:p w14:paraId="13FD1087" w14:textId="77777777" w:rsidR="008E6F6F" w:rsidRPr="00283A00" w:rsidRDefault="008E6F6F" w:rsidP="006A2C35">
      <w:pPr>
        <w:widowControl w:val="0"/>
        <w:autoSpaceDE w:val="0"/>
        <w:autoSpaceDN w:val="0"/>
        <w:spacing w:line="296" w:lineRule="exact"/>
        <w:ind w:left="20"/>
        <w:rPr>
          <w:rFonts w:ascii="Arial" w:hAnsi="Arial" w:cs="Arial"/>
        </w:rPr>
      </w:pPr>
    </w:p>
    <w:sectPr w:rsidR="008E6F6F" w:rsidRPr="00283A00" w:rsidSect="000B0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6F13459"/>
    <w:multiLevelType w:val="hybridMultilevel"/>
    <w:tmpl w:val="ED184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7"/>
  </w:num>
  <w:num w:numId="22">
    <w:abstractNumId w:val="11"/>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C62"/>
    <w:rsid w:val="00040E9E"/>
    <w:rsid w:val="00056D7A"/>
    <w:rsid w:val="000A733C"/>
    <w:rsid w:val="000B09FB"/>
    <w:rsid w:val="00136A3F"/>
    <w:rsid w:val="00283A00"/>
    <w:rsid w:val="0032507A"/>
    <w:rsid w:val="00364B52"/>
    <w:rsid w:val="003664D1"/>
    <w:rsid w:val="003A6219"/>
    <w:rsid w:val="003B54F8"/>
    <w:rsid w:val="003C026F"/>
    <w:rsid w:val="003C4B01"/>
    <w:rsid w:val="003D0611"/>
    <w:rsid w:val="003E006D"/>
    <w:rsid w:val="003E16F1"/>
    <w:rsid w:val="004844CB"/>
    <w:rsid w:val="00592A84"/>
    <w:rsid w:val="005E0EB6"/>
    <w:rsid w:val="00645252"/>
    <w:rsid w:val="006519F1"/>
    <w:rsid w:val="006A2C35"/>
    <w:rsid w:val="006C031A"/>
    <w:rsid w:val="006D3D74"/>
    <w:rsid w:val="006F6C62"/>
    <w:rsid w:val="00714659"/>
    <w:rsid w:val="007602BC"/>
    <w:rsid w:val="0077315B"/>
    <w:rsid w:val="007E61ED"/>
    <w:rsid w:val="0083569A"/>
    <w:rsid w:val="008441DE"/>
    <w:rsid w:val="008672D2"/>
    <w:rsid w:val="008760B7"/>
    <w:rsid w:val="008D4483"/>
    <w:rsid w:val="008E6F6F"/>
    <w:rsid w:val="009939B4"/>
    <w:rsid w:val="009A0020"/>
    <w:rsid w:val="009C0112"/>
    <w:rsid w:val="00A008E2"/>
    <w:rsid w:val="00A217A4"/>
    <w:rsid w:val="00A66128"/>
    <w:rsid w:val="00A77A8F"/>
    <w:rsid w:val="00A9204E"/>
    <w:rsid w:val="00AA74FD"/>
    <w:rsid w:val="00AC57B0"/>
    <w:rsid w:val="00AC6819"/>
    <w:rsid w:val="00B34E97"/>
    <w:rsid w:val="00B922E8"/>
    <w:rsid w:val="00BB3056"/>
    <w:rsid w:val="00C23593"/>
    <w:rsid w:val="00C91F48"/>
    <w:rsid w:val="00C976E8"/>
    <w:rsid w:val="00CC1AC2"/>
    <w:rsid w:val="00D210C4"/>
    <w:rsid w:val="00D75ABD"/>
    <w:rsid w:val="00DC1064"/>
    <w:rsid w:val="00DF1B1D"/>
    <w:rsid w:val="00E12943"/>
    <w:rsid w:val="00E3569A"/>
    <w:rsid w:val="00F16AEB"/>
    <w:rsid w:val="00F77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13D1"/>
  <w15:chartTrackingRefBased/>
  <w15:docId w15:val="{862B7519-EA05-4231-9D1C-D4B178BD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C23593"/>
    <w:pPr>
      <w:ind w:left="720"/>
      <w:contextualSpacing/>
    </w:pPr>
  </w:style>
  <w:style w:type="paragraph" w:styleId="NoSpacing">
    <w:name w:val="No Spacing"/>
    <w:uiPriority w:val="1"/>
    <w:qFormat/>
    <w:rsid w:val="00040E9E"/>
  </w:style>
  <w:style w:type="paragraph" w:styleId="Revision">
    <w:name w:val="Revision"/>
    <w:hidden/>
    <w:uiPriority w:val="99"/>
    <w:semiHidden/>
    <w:rsid w:val="000A7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6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rms.bedford.gov.uk/OpenDocument.aspx?id=tqfcv8PIi9gZ9ouyx%2bOWlw%3d%3d&amp;name=Guidance%20notes%204.pdf"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id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7ACA20AAEA034F33AFCFF3317C10A315" version="1.0.0">
  <systemFields>
    <field name="Objective-Id">
      <value order="0">A3169170</value>
    </field>
    <field name="Objective-Title">
      <value order="0">Representation Form Final</value>
    </field>
    <field name="Objective-Description">
      <value order="0"/>
    </field>
    <field name="Objective-CreationStamp">
      <value order="0">2022-06-10T11:02:43Z</value>
    </field>
    <field name="Objective-IsApproved">
      <value order="0">false</value>
    </field>
    <field name="Objective-IsPublished">
      <value order="0">true</value>
    </field>
    <field name="Objective-DatePublished">
      <value order="0">2022-06-10T11:03:11Z</value>
    </field>
    <field name="Objective-ModificationStamp">
      <value order="0">2022-06-10T11:03:39Z</value>
    </field>
    <field name="Objective-Owner">
      <value order="0">Kim Wilson</value>
    </field>
    <field name="Objective-Path">
      <value order="0">Objective Global Folder:Bedford Borough Council File Plan:Environment &amp; Sustainable Communities:Planning &amp; Housing Services:LDF Documents:Local Plan 2040:Plan for Submission</value>
    </field>
    <field name="Objective-Parent">
      <value order="0">Plan for Submission</value>
    </field>
    <field name="Objective-State">
      <value order="0">Published</value>
    </field>
    <field name="Objective-VersionId">
      <value order="0">vA3471173</value>
    </field>
    <field name="Objective-Version">
      <value order="0">1.0</value>
    </field>
    <field name="Objective-VersionNumber">
      <value order="0">1</value>
    </field>
    <field name="Objective-VersionComment">
      <value order="0">First version</value>
    </field>
    <field name="Objective-FileNumber">
      <value order="0"/>
    </field>
    <field name="Objective-Classification">
      <value order="0"/>
    </field>
    <field name="Objective-Caveats">
      <value order="0"/>
    </field>
  </systemFields>
  <catalogues>
    <catalogue name="Internet Publication" type="user" ori="id:cA8">
      <field name="Objective-Publish To Internet">
        <value order="0">Yes</value>
      </field>
    </catalogue>
  </catalogues>
</meta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ACA20AAEA034F33AFCFF3317C10A315"/>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purl.org/dc/terms/"/>
    <ds:schemaRef ds:uri="4873beb7-5857-4685-be1f-d57550cc96cc"/>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9</Pages>
  <Words>4403</Words>
  <Characters>25102</Characters>
  <Application>Microsoft Office Word</Application>
  <DocSecurity>4</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Tidy</dc:creator>
  <cp:keywords/>
  <dc:description/>
  <cp:lastModifiedBy>Kim Wilson</cp:lastModifiedBy>
  <cp:revision>2</cp:revision>
  <dcterms:created xsi:type="dcterms:W3CDTF">2022-08-22T10:39:00Z</dcterms:created>
  <dcterms:modified xsi:type="dcterms:W3CDTF">2022-08-22T10:39:00Z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Objective-Id">
    <vt:lpwstr>A3169170</vt:lpwstr>
  </property>
  <property fmtid="{D5CDD505-2E9C-101B-9397-08002B2CF9AE}" pid="9" name="Objective-Title">
    <vt:lpwstr>Representation Form Final</vt:lpwstr>
  </property>
  <property fmtid="{D5CDD505-2E9C-101B-9397-08002B2CF9AE}" pid="10" name="Objective-Description">
    <vt:lpwstr/>
  </property>
  <property fmtid="{D5CDD505-2E9C-101B-9397-08002B2CF9AE}" pid="11" name="Objective-CreationStamp">
    <vt:filetime>2022-06-10T11:02:43Z</vt:filetime>
  </property>
  <property fmtid="{D5CDD505-2E9C-101B-9397-08002B2CF9AE}" pid="12" name="Objective-IsApproved">
    <vt:bool>false</vt:bool>
  </property>
  <property fmtid="{D5CDD505-2E9C-101B-9397-08002B2CF9AE}" pid="13" name="Objective-IsPublished">
    <vt:bool>true</vt:bool>
  </property>
  <property fmtid="{D5CDD505-2E9C-101B-9397-08002B2CF9AE}" pid="14" name="Objective-DatePublished">
    <vt:filetime>2022-06-10T11:03:11Z</vt:filetime>
  </property>
  <property fmtid="{D5CDD505-2E9C-101B-9397-08002B2CF9AE}" pid="15" name="Objective-ModificationStamp">
    <vt:filetime>2022-06-10T11:03:39Z</vt:filetime>
  </property>
  <property fmtid="{D5CDD505-2E9C-101B-9397-08002B2CF9AE}" pid="16" name="Objective-Owner">
    <vt:lpwstr>Kim Wilson</vt:lpwstr>
  </property>
  <property fmtid="{D5CDD505-2E9C-101B-9397-08002B2CF9AE}" pid="17" name="Objective-Path">
    <vt:lpwstr>Objective Global Folder:Bedford Borough Council File Plan:Environment &amp; Sustainable Communities:Planning &amp; Housing Services:LDF Documents:Local Plan 2040:Plan for Submission</vt:lpwstr>
  </property>
  <property fmtid="{D5CDD505-2E9C-101B-9397-08002B2CF9AE}" pid="18" name="Objective-Parent">
    <vt:lpwstr>Plan for Submission</vt:lpwstr>
  </property>
  <property fmtid="{D5CDD505-2E9C-101B-9397-08002B2CF9AE}" pid="19" name="Objective-State">
    <vt:lpwstr>Published</vt:lpwstr>
  </property>
  <property fmtid="{D5CDD505-2E9C-101B-9397-08002B2CF9AE}" pid="20" name="Objective-VersionId">
    <vt:lpwstr>vA3471173</vt:lpwstr>
  </property>
  <property fmtid="{D5CDD505-2E9C-101B-9397-08002B2CF9AE}" pid="21" name="Objective-Version">
    <vt:lpwstr>1.0</vt:lpwstr>
  </property>
  <property fmtid="{D5CDD505-2E9C-101B-9397-08002B2CF9AE}" pid="22" name="Objective-VersionNumber">
    <vt:r8>1</vt:r8>
  </property>
  <property fmtid="{D5CDD505-2E9C-101B-9397-08002B2CF9AE}" pid="23" name="Objective-VersionComment">
    <vt:lpwstr>First version</vt:lpwstr>
  </property>
  <property fmtid="{D5CDD505-2E9C-101B-9397-08002B2CF9AE}" pid="24" name="Objective-FileNumber">
    <vt:lpwstr/>
  </property>
  <property fmtid="{D5CDD505-2E9C-101B-9397-08002B2CF9AE}" pid="25" name="Objective-Classification">
    <vt:lpwstr/>
  </property>
  <property fmtid="{D5CDD505-2E9C-101B-9397-08002B2CF9AE}" pid="26" name="Objective-Caveats">
    <vt:lpwstr/>
  </property>
  <property fmtid="{D5CDD505-2E9C-101B-9397-08002B2CF9AE}" pid="27" name="Objective-Publish To Internet">
    <vt:lpwstr>Yes</vt:lpwstr>
  </property>
</Properties>
</file>